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D7C4B" w14:textId="77777777" w:rsidR="00267150" w:rsidRPr="00267150" w:rsidRDefault="00FB5CB9" w:rsidP="009C25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IS </w:t>
      </w:r>
      <w:r w:rsidR="003E2F8F">
        <w:rPr>
          <w:b/>
          <w:sz w:val="32"/>
          <w:szCs w:val="32"/>
        </w:rPr>
        <w:t xml:space="preserve">Enterprise </w:t>
      </w:r>
      <w:r>
        <w:rPr>
          <w:b/>
          <w:sz w:val="32"/>
          <w:szCs w:val="32"/>
        </w:rPr>
        <w:t>Architect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239"/>
        <w:gridCol w:w="2410"/>
        <w:gridCol w:w="2297"/>
      </w:tblGrid>
      <w:tr w:rsidR="00D60004" w:rsidRPr="00613D25" w14:paraId="30A43247" w14:textId="77777777" w:rsidTr="00580F54">
        <w:tc>
          <w:tcPr>
            <w:tcW w:w="2405" w:type="dxa"/>
            <w:shd w:val="clear" w:color="auto" w:fill="2E74B5"/>
          </w:tcPr>
          <w:p w14:paraId="13260DA9" w14:textId="77777777" w:rsidR="00D60004" w:rsidRPr="00580F54" w:rsidRDefault="00A95C1F" w:rsidP="00F64752">
            <w:pPr>
              <w:spacing w:after="0" w:line="240" w:lineRule="auto"/>
              <w:rPr>
                <w:b/>
                <w:color w:val="FFFFFF"/>
              </w:rPr>
            </w:pPr>
            <w:r w:rsidRPr="00580F54">
              <w:rPr>
                <w:b/>
                <w:color w:val="FFFFFF"/>
              </w:rPr>
              <w:t>District/Department</w:t>
            </w:r>
          </w:p>
        </w:tc>
        <w:tc>
          <w:tcPr>
            <w:tcW w:w="2239" w:type="dxa"/>
            <w:shd w:val="clear" w:color="auto" w:fill="auto"/>
          </w:tcPr>
          <w:p w14:paraId="35E6B9A7" w14:textId="77777777" w:rsidR="00D60004" w:rsidRPr="00F64752" w:rsidRDefault="001731BB" w:rsidP="00F64752">
            <w:pPr>
              <w:spacing w:after="0" w:line="240" w:lineRule="auto"/>
            </w:pPr>
            <w:r>
              <w:t>IT Department</w:t>
            </w:r>
          </w:p>
        </w:tc>
        <w:tc>
          <w:tcPr>
            <w:tcW w:w="2410" w:type="dxa"/>
            <w:shd w:val="clear" w:color="auto" w:fill="2E74B5"/>
          </w:tcPr>
          <w:p w14:paraId="6F6D0A6A" w14:textId="77777777" w:rsidR="00D60004" w:rsidRPr="00F64752" w:rsidRDefault="00D60004" w:rsidP="00F64752">
            <w:pPr>
              <w:spacing w:after="0" w:line="240" w:lineRule="auto"/>
              <w:rPr>
                <w:b/>
                <w:color w:val="FFFFFF"/>
              </w:rPr>
            </w:pPr>
            <w:r w:rsidRPr="00F64752">
              <w:rPr>
                <w:b/>
                <w:color w:val="FFFFFF"/>
              </w:rPr>
              <w:t>Rank/Grade</w:t>
            </w:r>
          </w:p>
        </w:tc>
        <w:tc>
          <w:tcPr>
            <w:tcW w:w="2297" w:type="dxa"/>
            <w:shd w:val="clear" w:color="auto" w:fill="auto"/>
          </w:tcPr>
          <w:p w14:paraId="4535810A" w14:textId="0648AB10" w:rsidR="00D60004" w:rsidRPr="00F64752" w:rsidRDefault="00D25CB4" w:rsidP="00F64752">
            <w:pPr>
              <w:spacing w:after="0" w:line="240" w:lineRule="auto"/>
              <w:jc w:val="both"/>
            </w:pPr>
            <w:r w:rsidRPr="00F64752">
              <w:t xml:space="preserve">Band </w:t>
            </w:r>
            <w:r w:rsidR="00F86A58">
              <w:t>H</w:t>
            </w:r>
          </w:p>
        </w:tc>
      </w:tr>
    </w:tbl>
    <w:p w14:paraId="262998DF" w14:textId="77777777" w:rsidR="00267150" w:rsidRDefault="00267150" w:rsidP="00F64752">
      <w:pPr>
        <w:spacing w:line="240" w:lineRule="auto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946"/>
      </w:tblGrid>
      <w:tr w:rsidR="00A223A9" w:rsidRPr="00613D25" w14:paraId="58C059D1" w14:textId="77777777" w:rsidTr="00AA2AA7">
        <w:trPr>
          <w:trHeight w:val="1096"/>
        </w:trPr>
        <w:tc>
          <w:tcPr>
            <w:tcW w:w="2405" w:type="dxa"/>
            <w:shd w:val="clear" w:color="auto" w:fill="2E74B5"/>
          </w:tcPr>
          <w:p w14:paraId="24DA7D01" w14:textId="77777777" w:rsidR="00A223A9" w:rsidRPr="00580F54" w:rsidRDefault="00D60004" w:rsidP="00F64752">
            <w:pPr>
              <w:spacing w:after="0" w:line="240" w:lineRule="auto"/>
              <w:rPr>
                <w:b/>
                <w:color w:val="FFFFFF"/>
              </w:rPr>
            </w:pPr>
            <w:r w:rsidRPr="00580F54">
              <w:rPr>
                <w:b/>
                <w:color w:val="FFFFFF"/>
              </w:rPr>
              <w:t>Role purpose:</w:t>
            </w:r>
          </w:p>
        </w:tc>
        <w:tc>
          <w:tcPr>
            <w:tcW w:w="6946" w:type="dxa"/>
            <w:shd w:val="clear" w:color="auto" w:fill="auto"/>
          </w:tcPr>
          <w:p w14:paraId="6CFA489B" w14:textId="77777777" w:rsidR="001778ED" w:rsidRPr="001D7DC6" w:rsidRDefault="001778ED" w:rsidP="001731BB">
            <w:r>
              <w:t>The post holder will be the subject matter expert</w:t>
            </w:r>
            <w:r w:rsidR="003663B1">
              <w:t xml:space="preserve"> </w:t>
            </w:r>
            <w:r w:rsidR="001731BB">
              <w:t xml:space="preserve">on Enterprise Architecture </w:t>
            </w:r>
            <w:r w:rsidR="003663B1">
              <w:t>for SYP and HP and</w:t>
            </w:r>
            <w:r w:rsidR="001731BB">
              <w:t xml:space="preserve"> is</w:t>
            </w:r>
            <w:r w:rsidR="003663B1">
              <w:t xml:space="preserve"> responsible for the update, maintenance and development of the infrastructure and systems to enable </w:t>
            </w:r>
            <w:r w:rsidR="00AD243C">
              <w:t>the further devel</w:t>
            </w:r>
            <w:r w:rsidR="001731BB">
              <w:t>opment of IT across both forces and a standardised way.</w:t>
            </w:r>
          </w:p>
        </w:tc>
      </w:tr>
    </w:tbl>
    <w:p w14:paraId="66429C56" w14:textId="77777777" w:rsidR="00A223A9" w:rsidRDefault="00A223A9" w:rsidP="00F64752">
      <w:pPr>
        <w:spacing w:line="240" w:lineRule="auto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6"/>
      </w:tblGrid>
      <w:tr w:rsidR="00770075" w:rsidRPr="00613D25" w14:paraId="59522A0C" w14:textId="77777777" w:rsidTr="00580F54">
        <w:tc>
          <w:tcPr>
            <w:tcW w:w="9351" w:type="dxa"/>
            <w:gridSpan w:val="2"/>
            <w:shd w:val="clear" w:color="auto" w:fill="2E74B5"/>
          </w:tcPr>
          <w:p w14:paraId="24748149" w14:textId="77777777" w:rsidR="00770075" w:rsidRPr="00580F54" w:rsidRDefault="00F64752" w:rsidP="00613D25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Summary of Main Dut</w:t>
            </w:r>
            <w:r w:rsidR="00752A71">
              <w:rPr>
                <w:b/>
                <w:color w:val="FFFFFF"/>
              </w:rPr>
              <w:t>ies</w:t>
            </w:r>
            <w:r w:rsidR="00770075" w:rsidRPr="00580F54">
              <w:rPr>
                <w:i/>
                <w:color w:val="FFFFFF"/>
              </w:rPr>
              <w:t>:</w:t>
            </w:r>
            <w:r w:rsidR="00770075" w:rsidRPr="00580F54">
              <w:rPr>
                <w:b/>
                <w:color w:val="FFFFFF"/>
              </w:rPr>
              <w:t xml:space="preserve"> </w:t>
            </w:r>
          </w:p>
          <w:p w14:paraId="24909288" w14:textId="77777777" w:rsidR="00D11B02" w:rsidRPr="00580F54" w:rsidRDefault="00D11B02" w:rsidP="00613D25">
            <w:pPr>
              <w:spacing w:after="0" w:line="240" w:lineRule="auto"/>
              <w:rPr>
                <w:b/>
                <w:color w:val="FFFFFF"/>
              </w:rPr>
            </w:pPr>
          </w:p>
        </w:tc>
      </w:tr>
      <w:tr w:rsidR="00770075" w:rsidRPr="00613D25" w14:paraId="087F2C2E" w14:textId="77777777" w:rsidTr="00613D25">
        <w:tc>
          <w:tcPr>
            <w:tcW w:w="9351" w:type="dxa"/>
            <w:gridSpan w:val="2"/>
            <w:shd w:val="clear" w:color="auto" w:fill="auto"/>
          </w:tcPr>
          <w:p w14:paraId="4023E281" w14:textId="77777777" w:rsidR="00770075" w:rsidRDefault="00770075" w:rsidP="00ED55DC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B54807" w14:textId="77777777" w:rsidR="00AD243C" w:rsidRDefault="00AD243C" w:rsidP="00EB703A">
            <w:pPr>
              <w:spacing w:after="0" w:line="240" w:lineRule="auto"/>
            </w:pPr>
            <w:r w:rsidRPr="00AD243C">
              <w:t>Defines</w:t>
            </w:r>
            <w:r>
              <w:t xml:space="preserve"> the target architectures and the roadmaps and timescales for these to ensure the most efficient use of technology and digital services across the infrastructure to deliver business objectives.</w:t>
            </w:r>
          </w:p>
          <w:p w14:paraId="3499143A" w14:textId="77777777" w:rsidR="00BF7F83" w:rsidRDefault="00BF7F83" w:rsidP="00EB703A">
            <w:pPr>
              <w:spacing w:after="0" w:line="240" w:lineRule="auto"/>
            </w:pPr>
          </w:p>
          <w:p w14:paraId="6FA9CD2F" w14:textId="77777777" w:rsidR="00BF7F83" w:rsidRDefault="00BF7F83" w:rsidP="00EB703A">
            <w:pPr>
              <w:spacing w:after="0" w:line="240" w:lineRule="auto"/>
            </w:pPr>
            <w:r>
              <w:t>Acts as design authority and provides an assurance role, ensuring that all architecture activities and deliverables (in-house and externally sourced) are produced to a high standard and are consistent with existing standards, policies and strategies.</w:t>
            </w:r>
          </w:p>
          <w:p w14:paraId="6031754A" w14:textId="77777777" w:rsidR="00BF7F83" w:rsidRDefault="00BF7F83" w:rsidP="00EB703A">
            <w:pPr>
              <w:spacing w:after="0" w:line="240" w:lineRule="auto"/>
            </w:pPr>
          </w:p>
          <w:p w14:paraId="646D8367" w14:textId="77777777" w:rsidR="00BF7F83" w:rsidRDefault="00BF7F83" w:rsidP="00EB703A">
            <w:pPr>
              <w:spacing w:after="0" w:line="240" w:lineRule="auto"/>
            </w:pPr>
            <w:r>
              <w:t>Leads in the full life cycle delivery of the technical solutions from the initial concept, requirements gathering, specification, design delivery and acce</w:t>
            </w:r>
            <w:r w:rsidR="00A35DDB">
              <w:t>ptance into operational support from an architecture viewpoint.</w:t>
            </w:r>
          </w:p>
          <w:p w14:paraId="5856F95B" w14:textId="77777777" w:rsidR="00BF7F83" w:rsidRDefault="00BF7F83" w:rsidP="00EB703A">
            <w:pPr>
              <w:spacing w:after="0" w:line="240" w:lineRule="auto"/>
            </w:pPr>
          </w:p>
          <w:p w14:paraId="1BA90A54" w14:textId="77777777" w:rsidR="00BF7F83" w:rsidRDefault="00BF7F83" w:rsidP="00EB703A">
            <w:pPr>
              <w:spacing w:after="0" w:line="240" w:lineRule="auto"/>
            </w:pPr>
            <w:r>
              <w:t>Determines</w:t>
            </w:r>
            <w:r w:rsidR="00D60FED">
              <w:t xml:space="preserve"> and leads in the delivery of appropriate frameworks, standards and approaches to be adopted in the translation of architecture into working solutions.</w:t>
            </w:r>
          </w:p>
          <w:p w14:paraId="3EFDEC11" w14:textId="77777777" w:rsidR="00D60FED" w:rsidRDefault="00D60FED" w:rsidP="00EB703A">
            <w:pPr>
              <w:spacing w:after="0" w:line="240" w:lineRule="auto"/>
            </w:pPr>
          </w:p>
          <w:p w14:paraId="2E5620D1" w14:textId="77777777" w:rsidR="00D60FED" w:rsidRDefault="00D60FED" w:rsidP="00EB703A">
            <w:pPr>
              <w:spacing w:after="0" w:line="240" w:lineRule="auto"/>
            </w:pPr>
            <w:r>
              <w:t>Develops technology strategies and roadmaps that reflect new and emerging technologies that optimise the IT environment.</w:t>
            </w:r>
          </w:p>
          <w:p w14:paraId="3935C732" w14:textId="77777777" w:rsidR="00D60FED" w:rsidRDefault="00D60FED" w:rsidP="00EB703A">
            <w:pPr>
              <w:spacing w:after="0" w:line="240" w:lineRule="auto"/>
            </w:pPr>
          </w:p>
          <w:p w14:paraId="5F2797C3" w14:textId="77777777" w:rsidR="00D60FED" w:rsidRDefault="00D60FED" w:rsidP="00EB703A">
            <w:pPr>
              <w:spacing w:after="0" w:line="240" w:lineRule="auto"/>
            </w:pPr>
            <w:r>
              <w:t>Manages the appropriate governance forums to ensure agreement and maintenance of the overall Enterprise Architecture and ensures that the process delivers strategic imperatives.</w:t>
            </w:r>
          </w:p>
          <w:p w14:paraId="0CF60270" w14:textId="77777777" w:rsidR="00D60FED" w:rsidRDefault="00D60FED" w:rsidP="00EB703A">
            <w:pPr>
              <w:spacing w:after="0" w:line="240" w:lineRule="auto"/>
            </w:pPr>
          </w:p>
          <w:p w14:paraId="54C83A0F" w14:textId="77777777" w:rsidR="009844C2" w:rsidRDefault="009844C2" w:rsidP="00EB703A">
            <w:pPr>
              <w:spacing w:after="0" w:line="240" w:lineRule="auto"/>
            </w:pPr>
            <w:r>
              <w:t>Represents the department at national, regional, local and project meetings.</w:t>
            </w:r>
          </w:p>
          <w:p w14:paraId="20683435" w14:textId="77777777" w:rsidR="009844C2" w:rsidRDefault="009844C2" w:rsidP="00EB703A">
            <w:pPr>
              <w:spacing w:after="0" w:line="240" w:lineRule="auto"/>
            </w:pPr>
          </w:p>
          <w:p w14:paraId="58A7982A" w14:textId="77777777" w:rsidR="00D60FED" w:rsidRPr="00AD243C" w:rsidRDefault="00D60FED" w:rsidP="00EB703A">
            <w:pPr>
              <w:spacing w:after="0" w:line="240" w:lineRule="auto"/>
            </w:pPr>
            <w:r>
              <w:t>Manages the team of Solutions Architects.</w:t>
            </w:r>
          </w:p>
          <w:p w14:paraId="308564F7" w14:textId="77777777" w:rsidR="001D7DC6" w:rsidRPr="00ED78D5" w:rsidRDefault="001D7DC6" w:rsidP="005D74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B81" w:rsidRPr="00613D25" w14:paraId="3B6B7A61" w14:textId="77777777" w:rsidTr="00B92B81">
        <w:tc>
          <w:tcPr>
            <w:tcW w:w="9351" w:type="dxa"/>
            <w:gridSpan w:val="2"/>
            <w:shd w:val="clear" w:color="auto" w:fill="2E74B5"/>
          </w:tcPr>
          <w:p w14:paraId="11CE8907" w14:textId="77777777" w:rsidR="00B92B81" w:rsidRPr="00580F54" w:rsidRDefault="00B92B81" w:rsidP="00613D25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Competencies/behaviours</w:t>
            </w:r>
          </w:p>
        </w:tc>
      </w:tr>
      <w:tr w:rsidR="00B92B81" w:rsidRPr="00613D25" w14:paraId="53897462" w14:textId="77777777" w:rsidTr="00B92B81">
        <w:tc>
          <w:tcPr>
            <w:tcW w:w="9351" w:type="dxa"/>
            <w:gridSpan w:val="2"/>
            <w:shd w:val="clear" w:color="auto" w:fill="auto"/>
          </w:tcPr>
          <w:p w14:paraId="2542B4DB" w14:textId="77777777" w:rsidR="00B92B81" w:rsidRDefault="00B92B81" w:rsidP="0082509F">
            <w:pPr>
              <w:spacing w:after="0" w:line="240" w:lineRule="auto"/>
              <w:rPr>
                <w:i/>
              </w:rPr>
            </w:pPr>
          </w:p>
          <w:p w14:paraId="0B20F254" w14:textId="77777777" w:rsidR="00B92B81" w:rsidRPr="0082509F" w:rsidRDefault="003F2AFB" w:rsidP="0082509F">
            <w:pPr>
              <w:spacing w:after="0" w:line="240" w:lineRule="auto"/>
            </w:pPr>
            <w:r>
              <w:rPr>
                <w:i/>
              </w:rPr>
              <w:t>Please access the College of Policing website and r</w:t>
            </w:r>
            <w:r w:rsidR="00B92B81" w:rsidRPr="0082509F">
              <w:rPr>
                <w:i/>
              </w:rPr>
              <w:t>efer to the</w:t>
            </w:r>
            <w:r w:rsidR="00B92B81">
              <w:t xml:space="preserve"> </w:t>
            </w:r>
            <w:r w:rsidR="00B92B81" w:rsidRPr="003F2AFB">
              <w:rPr>
                <w:b/>
                <w:i/>
              </w:rPr>
              <w:t>Competency and Values</w:t>
            </w:r>
            <w:r w:rsidR="00B92B81">
              <w:rPr>
                <w:b/>
                <w:i/>
              </w:rPr>
              <w:t xml:space="preserve"> </w:t>
            </w:r>
            <w:r w:rsidR="00B92B81" w:rsidRPr="0082509F">
              <w:rPr>
                <w:i/>
              </w:rPr>
              <w:t>for a definition of the values and essential behaviours for each required competency level.</w:t>
            </w:r>
          </w:p>
          <w:p w14:paraId="09FD3FE9" w14:textId="77777777" w:rsidR="00B92B81" w:rsidRPr="00613D25" w:rsidRDefault="00B92B81" w:rsidP="0082509F">
            <w:pPr>
              <w:spacing w:after="0" w:line="240" w:lineRule="auto"/>
            </w:pPr>
          </w:p>
        </w:tc>
      </w:tr>
      <w:tr w:rsidR="00B92B81" w:rsidRPr="00613D25" w14:paraId="51278105" w14:textId="77777777" w:rsidTr="00B92B81">
        <w:tc>
          <w:tcPr>
            <w:tcW w:w="4675" w:type="dxa"/>
            <w:shd w:val="clear" w:color="auto" w:fill="auto"/>
          </w:tcPr>
          <w:p w14:paraId="5B42A9EB" w14:textId="77777777" w:rsidR="00B92B81" w:rsidRDefault="003F2AFB" w:rsidP="003F2AFB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Competency</w:t>
            </w:r>
          </w:p>
          <w:p w14:paraId="277D7FCE" w14:textId="77777777" w:rsidR="00B06719" w:rsidRPr="00B06719" w:rsidRDefault="00B06719" w:rsidP="003F2AFB">
            <w:pPr>
              <w:spacing w:after="0" w:line="240" w:lineRule="auto"/>
            </w:pPr>
            <w:r w:rsidRPr="00B06719">
              <w:t>https://profdev.college.police.uk/competency-values/</w:t>
            </w:r>
          </w:p>
        </w:tc>
        <w:tc>
          <w:tcPr>
            <w:tcW w:w="4676" w:type="dxa"/>
            <w:shd w:val="clear" w:color="auto" w:fill="auto"/>
          </w:tcPr>
          <w:p w14:paraId="149CB6BD" w14:textId="77777777" w:rsidR="00B92B81" w:rsidRPr="003F2AFB" w:rsidRDefault="00B92B81" w:rsidP="00055302">
            <w:pPr>
              <w:tabs>
                <w:tab w:val="left" w:pos="3825"/>
              </w:tabs>
              <w:spacing w:after="0" w:line="240" w:lineRule="auto"/>
              <w:rPr>
                <w:b/>
                <w:u w:val="single"/>
              </w:rPr>
            </w:pPr>
            <w:r w:rsidRPr="003F2AFB">
              <w:rPr>
                <w:b/>
                <w:u w:val="single"/>
              </w:rPr>
              <w:t>CVF Level</w:t>
            </w:r>
            <w:r w:rsidR="003F2AFB" w:rsidRPr="003F2AFB">
              <w:rPr>
                <w:b/>
                <w:u w:val="single"/>
              </w:rPr>
              <w:t xml:space="preserve"> </w:t>
            </w:r>
          </w:p>
          <w:p w14:paraId="5B1B2D47" w14:textId="77777777" w:rsidR="003F2AFB" w:rsidRPr="003F2AFB" w:rsidRDefault="003F2AFB" w:rsidP="003F2AFB">
            <w:pPr>
              <w:tabs>
                <w:tab w:val="left" w:pos="382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F2AFB">
              <w:rPr>
                <w:b/>
                <w:sz w:val="20"/>
                <w:szCs w:val="20"/>
              </w:rPr>
              <w:t>Level 1 – Practitioner</w:t>
            </w:r>
          </w:p>
          <w:p w14:paraId="3CA4D49C" w14:textId="77777777" w:rsidR="003F2AFB" w:rsidRPr="003F2AFB" w:rsidRDefault="003F2AFB" w:rsidP="003F2AFB">
            <w:pPr>
              <w:tabs>
                <w:tab w:val="left" w:pos="382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F2AFB">
              <w:rPr>
                <w:b/>
                <w:sz w:val="20"/>
                <w:szCs w:val="20"/>
              </w:rPr>
              <w:t>Level 2 – Supervisor/Middle Manager</w:t>
            </w:r>
          </w:p>
          <w:p w14:paraId="1A7D3A05" w14:textId="77777777" w:rsidR="003F2AFB" w:rsidRPr="00752A71" w:rsidRDefault="003F2AFB" w:rsidP="003F2AFB">
            <w:pPr>
              <w:tabs>
                <w:tab w:val="left" w:pos="3825"/>
              </w:tabs>
              <w:spacing w:after="0" w:line="240" w:lineRule="auto"/>
              <w:rPr>
                <w:b/>
              </w:rPr>
            </w:pPr>
            <w:r w:rsidRPr="003F2AFB">
              <w:rPr>
                <w:b/>
                <w:sz w:val="20"/>
                <w:szCs w:val="20"/>
              </w:rPr>
              <w:t>Level 3 – Senior Manager/Executive</w:t>
            </w:r>
          </w:p>
        </w:tc>
      </w:tr>
      <w:tr w:rsidR="00B92B81" w:rsidRPr="00613D25" w14:paraId="70E89281" w14:textId="77777777" w:rsidTr="00B92B81">
        <w:tc>
          <w:tcPr>
            <w:tcW w:w="4675" w:type="dxa"/>
            <w:shd w:val="clear" w:color="auto" w:fill="auto"/>
          </w:tcPr>
          <w:p w14:paraId="738D8749" w14:textId="77777777" w:rsidR="00B92B81" w:rsidRPr="00613D25" w:rsidRDefault="00B92B81" w:rsidP="00055302">
            <w:pPr>
              <w:tabs>
                <w:tab w:val="left" w:pos="3825"/>
              </w:tabs>
              <w:spacing w:after="0" w:line="240" w:lineRule="auto"/>
            </w:pPr>
            <w:r>
              <w:t>We are emotionally aware</w:t>
            </w:r>
            <w:r>
              <w:tab/>
            </w:r>
          </w:p>
        </w:tc>
        <w:tc>
          <w:tcPr>
            <w:tcW w:w="4676" w:type="dxa"/>
            <w:shd w:val="clear" w:color="auto" w:fill="auto"/>
          </w:tcPr>
          <w:p w14:paraId="178BFFFF" w14:textId="77777777" w:rsidR="00AA2AA7" w:rsidRPr="00401C32" w:rsidRDefault="001778ED" w:rsidP="00055302">
            <w:pPr>
              <w:tabs>
                <w:tab w:val="left" w:pos="3825"/>
              </w:tabs>
              <w:spacing w:after="0" w:line="240" w:lineRule="auto"/>
            </w:pPr>
            <w:r>
              <w:t>2</w:t>
            </w:r>
          </w:p>
        </w:tc>
      </w:tr>
      <w:tr w:rsidR="00B92B81" w:rsidRPr="00613D25" w14:paraId="5159F382" w14:textId="77777777" w:rsidTr="00B92B81">
        <w:tc>
          <w:tcPr>
            <w:tcW w:w="4675" w:type="dxa"/>
            <w:shd w:val="clear" w:color="auto" w:fill="auto"/>
          </w:tcPr>
          <w:p w14:paraId="254959E6" w14:textId="77777777" w:rsidR="00B92B81" w:rsidRPr="00613D25" w:rsidRDefault="00B92B81" w:rsidP="00055302">
            <w:pPr>
              <w:tabs>
                <w:tab w:val="left" w:pos="3825"/>
              </w:tabs>
              <w:spacing w:after="0" w:line="240" w:lineRule="auto"/>
            </w:pPr>
            <w:r>
              <w:t>We take ownership</w:t>
            </w:r>
            <w:r>
              <w:tab/>
            </w:r>
          </w:p>
        </w:tc>
        <w:tc>
          <w:tcPr>
            <w:tcW w:w="4676" w:type="dxa"/>
            <w:shd w:val="clear" w:color="auto" w:fill="auto"/>
          </w:tcPr>
          <w:p w14:paraId="0A0A89ED" w14:textId="77777777" w:rsidR="00B92B81" w:rsidRPr="00401C32" w:rsidRDefault="001778ED" w:rsidP="00AA2AA7">
            <w:pPr>
              <w:tabs>
                <w:tab w:val="left" w:pos="3825"/>
              </w:tabs>
              <w:spacing w:after="0" w:line="240" w:lineRule="auto"/>
            </w:pPr>
            <w:r>
              <w:t>2</w:t>
            </w:r>
          </w:p>
        </w:tc>
      </w:tr>
      <w:tr w:rsidR="00B92B81" w:rsidRPr="00613D25" w14:paraId="3C5919F0" w14:textId="77777777" w:rsidTr="00B92B81">
        <w:tc>
          <w:tcPr>
            <w:tcW w:w="4675" w:type="dxa"/>
            <w:shd w:val="clear" w:color="auto" w:fill="auto"/>
          </w:tcPr>
          <w:p w14:paraId="02DF94BA" w14:textId="77777777" w:rsidR="00B92B81" w:rsidRPr="00613D25" w:rsidRDefault="00B92B81" w:rsidP="00752A71">
            <w:pPr>
              <w:tabs>
                <w:tab w:val="left" w:pos="3825"/>
              </w:tabs>
              <w:spacing w:after="0" w:line="240" w:lineRule="auto"/>
            </w:pPr>
            <w:r>
              <w:t>We are collaborative</w:t>
            </w:r>
            <w:r>
              <w:tab/>
            </w:r>
          </w:p>
        </w:tc>
        <w:tc>
          <w:tcPr>
            <w:tcW w:w="4676" w:type="dxa"/>
            <w:shd w:val="clear" w:color="auto" w:fill="auto"/>
          </w:tcPr>
          <w:p w14:paraId="56595685" w14:textId="77777777" w:rsidR="00B92B81" w:rsidRPr="00401C32" w:rsidRDefault="001778ED" w:rsidP="00AA2AA7">
            <w:pPr>
              <w:tabs>
                <w:tab w:val="left" w:pos="3825"/>
              </w:tabs>
              <w:spacing w:after="0" w:line="240" w:lineRule="auto"/>
            </w:pPr>
            <w:r>
              <w:t>2</w:t>
            </w:r>
          </w:p>
        </w:tc>
      </w:tr>
      <w:tr w:rsidR="00B92B81" w:rsidRPr="00613D25" w14:paraId="28D54C59" w14:textId="77777777" w:rsidTr="00B92B81">
        <w:tc>
          <w:tcPr>
            <w:tcW w:w="4675" w:type="dxa"/>
            <w:shd w:val="clear" w:color="auto" w:fill="auto"/>
          </w:tcPr>
          <w:p w14:paraId="4144F310" w14:textId="77777777" w:rsidR="00B92B81" w:rsidRPr="00613D25" w:rsidRDefault="00B92B81" w:rsidP="00752A71">
            <w:pPr>
              <w:tabs>
                <w:tab w:val="left" w:pos="3225"/>
              </w:tabs>
              <w:spacing w:after="0" w:line="240" w:lineRule="auto"/>
            </w:pPr>
            <w:r>
              <w:lastRenderedPageBreak/>
              <w:t>We deliver, support and inspire</w:t>
            </w:r>
            <w:r>
              <w:tab/>
            </w:r>
          </w:p>
        </w:tc>
        <w:tc>
          <w:tcPr>
            <w:tcW w:w="4676" w:type="dxa"/>
            <w:shd w:val="clear" w:color="auto" w:fill="auto"/>
          </w:tcPr>
          <w:p w14:paraId="0D2D95B7" w14:textId="77777777" w:rsidR="00B92B81" w:rsidRPr="00401C32" w:rsidRDefault="001778ED" w:rsidP="00AA2AA7">
            <w:pPr>
              <w:tabs>
                <w:tab w:val="left" w:pos="3825"/>
              </w:tabs>
              <w:spacing w:after="0" w:line="240" w:lineRule="auto"/>
            </w:pPr>
            <w:r>
              <w:t>2</w:t>
            </w:r>
          </w:p>
        </w:tc>
      </w:tr>
      <w:tr w:rsidR="00B92B81" w:rsidRPr="00613D25" w14:paraId="38558735" w14:textId="77777777" w:rsidTr="00B92B81">
        <w:tc>
          <w:tcPr>
            <w:tcW w:w="4675" w:type="dxa"/>
            <w:shd w:val="clear" w:color="auto" w:fill="auto"/>
          </w:tcPr>
          <w:p w14:paraId="19DEB505" w14:textId="77777777" w:rsidR="00B92B81" w:rsidRPr="00613D25" w:rsidRDefault="00B92B81" w:rsidP="00752A71">
            <w:pPr>
              <w:tabs>
                <w:tab w:val="left" w:pos="3225"/>
              </w:tabs>
              <w:spacing w:after="0" w:line="240" w:lineRule="auto"/>
            </w:pPr>
            <w:r>
              <w:t>We analyse critically</w:t>
            </w:r>
            <w:r>
              <w:tab/>
            </w:r>
          </w:p>
        </w:tc>
        <w:tc>
          <w:tcPr>
            <w:tcW w:w="4676" w:type="dxa"/>
            <w:shd w:val="clear" w:color="auto" w:fill="auto"/>
          </w:tcPr>
          <w:p w14:paraId="0FD34D9F" w14:textId="77777777" w:rsidR="00B92B81" w:rsidRPr="00401C32" w:rsidRDefault="001778ED" w:rsidP="00AA2AA7">
            <w:pPr>
              <w:tabs>
                <w:tab w:val="left" w:pos="3825"/>
              </w:tabs>
              <w:spacing w:after="0" w:line="240" w:lineRule="auto"/>
            </w:pPr>
            <w:r>
              <w:t>2</w:t>
            </w:r>
          </w:p>
        </w:tc>
      </w:tr>
      <w:tr w:rsidR="00B92B81" w:rsidRPr="00613D25" w14:paraId="7D0887A5" w14:textId="77777777" w:rsidTr="00B92B81">
        <w:tc>
          <w:tcPr>
            <w:tcW w:w="4675" w:type="dxa"/>
            <w:shd w:val="clear" w:color="auto" w:fill="auto"/>
          </w:tcPr>
          <w:p w14:paraId="4430C9CE" w14:textId="77777777" w:rsidR="00B92B81" w:rsidRPr="00613D25" w:rsidRDefault="00B92B81" w:rsidP="00752A71">
            <w:pPr>
              <w:tabs>
                <w:tab w:val="left" w:pos="3225"/>
                <w:tab w:val="left" w:pos="3855"/>
              </w:tabs>
              <w:spacing w:after="0" w:line="240" w:lineRule="auto"/>
            </w:pPr>
            <w:r>
              <w:t>We are innovative and open-minded</w:t>
            </w:r>
            <w:r>
              <w:tab/>
            </w:r>
          </w:p>
        </w:tc>
        <w:tc>
          <w:tcPr>
            <w:tcW w:w="4676" w:type="dxa"/>
            <w:shd w:val="clear" w:color="auto" w:fill="auto"/>
          </w:tcPr>
          <w:p w14:paraId="1EBABD9A" w14:textId="77777777" w:rsidR="00B92B81" w:rsidRPr="00401C32" w:rsidRDefault="001778ED" w:rsidP="00AA2AA7">
            <w:pPr>
              <w:tabs>
                <w:tab w:val="left" w:pos="3825"/>
              </w:tabs>
              <w:spacing w:after="0" w:line="240" w:lineRule="auto"/>
            </w:pPr>
            <w:r>
              <w:t>2</w:t>
            </w:r>
          </w:p>
        </w:tc>
      </w:tr>
      <w:tr w:rsidR="00B92B81" w:rsidRPr="00613D25" w14:paraId="424CC7C7" w14:textId="77777777" w:rsidTr="00B92B81">
        <w:tc>
          <w:tcPr>
            <w:tcW w:w="9351" w:type="dxa"/>
            <w:gridSpan w:val="2"/>
            <w:shd w:val="clear" w:color="auto" w:fill="2E74B5"/>
          </w:tcPr>
          <w:p w14:paraId="4B48C8D1" w14:textId="77777777" w:rsidR="00B92B81" w:rsidRPr="00580F54" w:rsidRDefault="00B92B81" w:rsidP="00752A71">
            <w:pPr>
              <w:spacing w:after="0" w:line="240" w:lineRule="auto"/>
              <w:rPr>
                <w:b/>
                <w:color w:val="FFFFFF"/>
              </w:rPr>
            </w:pPr>
            <w:r w:rsidRPr="00580F54">
              <w:rPr>
                <w:b/>
                <w:color w:val="FFFFFF"/>
              </w:rPr>
              <w:t>Core values for ALL employees:</w:t>
            </w:r>
          </w:p>
        </w:tc>
      </w:tr>
      <w:tr w:rsidR="00BF4EC8" w:rsidRPr="00613D25" w14:paraId="1D4E206E" w14:textId="77777777" w:rsidTr="00401C32">
        <w:trPr>
          <w:trHeight w:val="564"/>
        </w:trPr>
        <w:tc>
          <w:tcPr>
            <w:tcW w:w="4675" w:type="dxa"/>
            <w:shd w:val="clear" w:color="auto" w:fill="auto"/>
          </w:tcPr>
          <w:p w14:paraId="1698EC92" w14:textId="77777777" w:rsidR="00BF4EC8" w:rsidRPr="00613D25" w:rsidRDefault="00BF4EC8" w:rsidP="00752A71">
            <w:pPr>
              <w:spacing w:after="0" w:line="240" w:lineRule="auto"/>
            </w:pPr>
            <w:r w:rsidRPr="00613D25">
              <w:t>Integrity</w:t>
            </w:r>
          </w:p>
          <w:p w14:paraId="03B85743" w14:textId="77777777" w:rsidR="00BF4EC8" w:rsidRPr="00613D25" w:rsidRDefault="00BF4EC8" w:rsidP="00752A71">
            <w:pPr>
              <w:spacing w:after="0" w:line="240" w:lineRule="auto"/>
            </w:pPr>
            <w:r w:rsidRPr="00613D25">
              <w:t>Impartiality</w:t>
            </w:r>
          </w:p>
        </w:tc>
        <w:tc>
          <w:tcPr>
            <w:tcW w:w="4676" w:type="dxa"/>
            <w:shd w:val="clear" w:color="auto" w:fill="auto"/>
          </w:tcPr>
          <w:p w14:paraId="51F85DFC" w14:textId="77777777" w:rsidR="00BF4EC8" w:rsidRPr="00613D25" w:rsidRDefault="00BF4EC8" w:rsidP="00752A71">
            <w:pPr>
              <w:spacing w:after="0" w:line="240" w:lineRule="auto"/>
            </w:pPr>
            <w:r w:rsidRPr="00613D25">
              <w:t>Public Service</w:t>
            </w:r>
          </w:p>
          <w:p w14:paraId="403A72AD" w14:textId="77777777" w:rsidR="00BF4EC8" w:rsidRPr="00613D25" w:rsidRDefault="00BF4EC8" w:rsidP="00752A71">
            <w:pPr>
              <w:spacing w:after="0" w:line="240" w:lineRule="auto"/>
            </w:pPr>
            <w:r w:rsidRPr="00613D25">
              <w:t>Transparency</w:t>
            </w:r>
          </w:p>
        </w:tc>
      </w:tr>
    </w:tbl>
    <w:p w14:paraId="593EDDAC" w14:textId="77777777" w:rsidR="007B0125" w:rsidRDefault="007B0125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922AC0" w:rsidRPr="00613D25" w14:paraId="141DB30A" w14:textId="77777777" w:rsidTr="00580F54">
        <w:tc>
          <w:tcPr>
            <w:tcW w:w="9351" w:type="dxa"/>
            <w:shd w:val="clear" w:color="auto" w:fill="2E74B5"/>
          </w:tcPr>
          <w:p w14:paraId="5BCAF4C9" w14:textId="77777777" w:rsidR="00922AC0" w:rsidRPr="00580F54" w:rsidRDefault="00D60004" w:rsidP="00547262">
            <w:pPr>
              <w:spacing w:after="0" w:line="240" w:lineRule="auto"/>
              <w:rPr>
                <w:color w:val="FFFFFF"/>
              </w:rPr>
            </w:pPr>
            <w:r w:rsidRPr="00580F54">
              <w:rPr>
                <w:b/>
                <w:color w:val="FFFFFF"/>
              </w:rPr>
              <w:t>Experience, Education and Skills:</w:t>
            </w:r>
            <w:r w:rsidRPr="00580F54">
              <w:rPr>
                <w:color w:val="FFFFFF"/>
              </w:rPr>
              <w:t xml:space="preserve"> </w:t>
            </w:r>
            <w:r w:rsidR="00547262">
              <w:rPr>
                <w:i/>
                <w:color w:val="FFFFFF"/>
              </w:rPr>
              <w:t xml:space="preserve">Ideally between 4 and </w:t>
            </w:r>
            <w:r w:rsidRPr="00580F54">
              <w:rPr>
                <w:i/>
                <w:color w:val="FFFFFF"/>
              </w:rPr>
              <w:t>6 of each</w:t>
            </w:r>
          </w:p>
        </w:tc>
      </w:tr>
      <w:tr w:rsidR="00D60004" w:rsidRPr="00613D25" w14:paraId="5371913E" w14:textId="77777777" w:rsidTr="00580F54">
        <w:tc>
          <w:tcPr>
            <w:tcW w:w="9351" w:type="dxa"/>
            <w:shd w:val="clear" w:color="auto" w:fill="2E74B5"/>
          </w:tcPr>
          <w:p w14:paraId="526A4F50" w14:textId="77777777" w:rsidR="00D60004" w:rsidRPr="00580F54" w:rsidRDefault="00D60004" w:rsidP="00613D25">
            <w:pPr>
              <w:spacing w:after="0" w:line="240" w:lineRule="auto"/>
              <w:rPr>
                <w:b/>
                <w:color w:val="FFFFFF"/>
              </w:rPr>
            </w:pPr>
            <w:r w:rsidRPr="00580F54">
              <w:rPr>
                <w:b/>
                <w:color w:val="FFFFFF"/>
              </w:rPr>
              <w:t>Essential</w:t>
            </w:r>
            <w:r w:rsidR="00F64752">
              <w:rPr>
                <w:b/>
                <w:color w:val="FFFFFF"/>
              </w:rPr>
              <w:t xml:space="preserve"> Criteria (used for short-listing)</w:t>
            </w:r>
            <w:r w:rsidRPr="00580F54">
              <w:rPr>
                <w:b/>
                <w:color w:val="FFFFFF"/>
              </w:rPr>
              <w:t>:</w:t>
            </w:r>
          </w:p>
        </w:tc>
      </w:tr>
      <w:tr w:rsidR="000D48C4" w:rsidRPr="00613D25" w14:paraId="4A16E788" w14:textId="77777777" w:rsidTr="00250DAE">
        <w:trPr>
          <w:trHeight w:val="539"/>
        </w:trPr>
        <w:tc>
          <w:tcPr>
            <w:tcW w:w="9351" w:type="dxa"/>
            <w:shd w:val="clear" w:color="auto" w:fill="auto"/>
          </w:tcPr>
          <w:p w14:paraId="46DDE7EA" w14:textId="77777777" w:rsidR="000D48C4" w:rsidRDefault="000D48C4" w:rsidP="000D48C4">
            <w:pPr>
              <w:shd w:val="clear" w:color="auto" w:fill="FFFFFF"/>
              <w:spacing w:before="100" w:beforeAutospacing="1" w:after="100" w:afterAutospacing="1" w:line="240" w:lineRule="auto"/>
            </w:pPr>
            <w:r>
              <w:t>Hold</w:t>
            </w:r>
            <w:r w:rsidR="00B5480B">
              <w:t>s</w:t>
            </w:r>
            <w:r>
              <w:t xml:space="preserve"> a diploma level qualification (or higher) in a relevant discipline or can demonstrate comparable practical experience.</w:t>
            </w:r>
          </w:p>
        </w:tc>
      </w:tr>
      <w:tr w:rsidR="00D60FED" w:rsidRPr="00613D25" w14:paraId="50744773" w14:textId="77777777" w:rsidTr="00250DAE">
        <w:trPr>
          <w:trHeight w:val="539"/>
        </w:trPr>
        <w:tc>
          <w:tcPr>
            <w:tcW w:w="9351" w:type="dxa"/>
            <w:shd w:val="clear" w:color="auto" w:fill="auto"/>
          </w:tcPr>
          <w:p w14:paraId="6BBD18FB" w14:textId="77777777" w:rsidR="0053065A" w:rsidRDefault="000D48C4" w:rsidP="000D48C4">
            <w:pPr>
              <w:shd w:val="clear" w:color="auto" w:fill="FFFFFF"/>
              <w:spacing w:before="100" w:beforeAutospacing="1" w:after="100" w:afterAutospacing="1" w:line="240" w:lineRule="auto"/>
            </w:pPr>
            <w:r>
              <w:t>Has a proven record of accomplishment</w:t>
            </w:r>
            <w:r w:rsidR="00B5480B">
              <w:t>s</w:t>
            </w:r>
            <w:r>
              <w:t xml:space="preserve"> in leading large-scale architectural projects using </w:t>
            </w:r>
            <w:r w:rsidR="0053065A">
              <w:t>a recognised Enterprise Architecture framework.</w:t>
            </w:r>
          </w:p>
        </w:tc>
      </w:tr>
      <w:tr w:rsidR="00D60004" w:rsidRPr="00613D25" w14:paraId="68EC9ECF" w14:textId="77777777" w:rsidTr="00250DAE">
        <w:trPr>
          <w:trHeight w:val="539"/>
        </w:trPr>
        <w:tc>
          <w:tcPr>
            <w:tcW w:w="9351" w:type="dxa"/>
            <w:shd w:val="clear" w:color="auto" w:fill="auto"/>
          </w:tcPr>
          <w:p w14:paraId="17E5E0C5" w14:textId="77777777" w:rsidR="00ED55DC" w:rsidRPr="00613D25" w:rsidRDefault="00C22121" w:rsidP="0097488B">
            <w:pPr>
              <w:shd w:val="clear" w:color="auto" w:fill="FFFFFF"/>
              <w:spacing w:before="100" w:beforeAutospacing="1" w:after="100" w:afterAutospacing="1" w:line="240" w:lineRule="auto"/>
            </w:pPr>
            <w:r>
              <w:t>Detailed knowledge of the</w:t>
            </w:r>
            <w:r w:rsidR="00B5480B">
              <w:t xml:space="preserve"> application of</w:t>
            </w:r>
            <w:r>
              <w:t xml:space="preserve"> ITIL framework</w:t>
            </w:r>
            <w:r w:rsidR="000D48C4">
              <w:t xml:space="preserve"> and Prince2 methodology.</w:t>
            </w:r>
          </w:p>
        </w:tc>
      </w:tr>
      <w:tr w:rsidR="00D60004" w:rsidRPr="00613D25" w14:paraId="75F8AF17" w14:textId="77777777" w:rsidTr="00250DAE">
        <w:trPr>
          <w:trHeight w:val="539"/>
        </w:trPr>
        <w:tc>
          <w:tcPr>
            <w:tcW w:w="9351" w:type="dxa"/>
            <w:shd w:val="clear" w:color="auto" w:fill="auto"/>
          </w:tcPr>
          <w:p w14:paraId="589562B5" w14:textId="77777777" w:rsidR="00ED55DC" w:rsidRPr="00613D25" w:rsidRDefault="005F7C48" w:rsidP="00613D25">
            <w:pPr>
              <w:spacing w:after="0" w:line="240" w:lineRule="auto"/>
            </w:pPr>
            <w:r>
              <w:t xml:space="preserve">Can demonstrate outstanding problem solving and analytical skills to </w:t>
            </w:r>
            <w:r w:rsidR="00B5480B">
              <w:t xml:space="preserve">resolve issues </w:t>
            </w:r>
            <w:r>
              <w:t>deliver agreed solutions, including presenting technical ideas and concepts in a simple and logical way.</w:t>
            </w:r>
          </w:p>
        </w:tc>
      </w:tr>
      <w:tr w:rsidR="000D48C4" w:rsidRPr="00613D25" w14:paraId="2851752B" w14:textId="77777777" w:rsidTr="00250DAE">
        <w:trPr>
          <w:trHeight w:val="539"/>
        </w:trPr>
        <w:tc>
          <w:tcPr>
            <w:tcW w:w="9351" w:type="dxa"/>
            <w:shd w:val="clear" w:color="auto" w:fill="auto"/>
          </w:tcPr>
          <w:p w14:paraId="6061F06D" w14:textId="77777777" w:rsidR="000D48C4" w:rsidRDefault="000D48C4" w:rsidP="00613D25">
            <w:pPr>
              <w:spacing w:after="0" w:line="240" w:lineRule="auto"/>
            </w:pPr>
            <w:r>
              <w:t>Robust kno</w:t>
            </w:r>
            <w:r w:rsidR="005F7C48">
              <w:t>wledge of security architecture and IT Quality Assurance processes.</w:t>
            </w:r>
          </w:p>
        </w:tc>
      </w:tr>
      <w:tr w:rsidR="000D48C4" w:rsidRPr="00613D25" w14:paraId="6182201A" w14:textId="77777777" w:rsidTr="00250DAE">
        <w:trPr>
          <w:trHeight w:val="539"/>
        </w:trPr>
        <w:tc>
          <w:tcPr>
            <w:tcW w:w="9351" w:type="dxa"/>
            <w:shd w:val="clear" w:color="auto" w:fill="auto"/>
          </w:tcPr>
          <w:p w14:paraId="5808B7DB" w14:textId="77777777" w:rsidR="000D48C4" w:rsidRDefault="005F7C48" w:rsidP="005F7C48">
            <w:pPr>
              <w:spacing w:after="0" w:line="240" w:lineRule="auto"/>
            </w:pPr>
            <w:r>
              <w:t>Advanced experience of working within a mobile, cloud and infrastructure environment.</w:t>
            </w:r>
          </w:p>
        </w:tc>
      </w:tr>
      <w:tr w:rsidR="005F7C48" w:rsidRPr="00613D25" w14:paraId="705D4224" w14:textId="77777777" w:rsidTr="00250DAE">
        <w:trPr>
          <w:trHeight w:val="539"/>
        </w:trPr>
        <w:tc>
          <w:tcPr>
            <w:tcW w:w="9351" w:type="dxa"/>
            <w:shd w:val="clear" w:color="auto" w:fill="auto"/>
          </w:tcPr>
          <w:p w14:paraId="58167397" w14:textId="77777777" w:rsidR="005F7C48" w:rsidRDefault="005F7C48" w:rsidP="005F7C48">
            <w:pPr>
              <w:spacing w:after="0" w:line="240" w:lineRule="auto"/>
            </w:pPr>
            <w:r>
              <w:t xml:space="preserve">Is an effective leader who can Is able to demonstrate an ability to manage </w:t>
            </w:r>
            <w:r w:rsidR="00B5480B">
              <w:t>staff.</w:t>
            </w:r>
          </w:p>
        </w:tc>
      </w:tr>
      <w:tr w:rsidR="00D60004" w:rsidRPr="00613D25" w14:paraId="7C0206F9" w14:textId="77777777" w:rsidTr="00580F54">
        <w:tc>
          <w:tcPr>
            <w:tcW w:w="9351" w:type="dxa"/>
            <w:shd w:val="clear" w:color="auto" w:fill="2E74B5"/>
          </w:tcPr>
          <w:p w14:paraId="44BF5A8F" w14:textId="77777777" w:rsidR="00D60004" w:rsidRPr="00580F54" w:rsidRDefault="00D60004" w:rsidP="00613D25">
            <w:pPr>
              <w:spacing w:after="0" w:line="240" w:lineRule="auto"/>
              <w:rPr>
                <w:b/>
                <w:color w:val="FFFFFF"/>
              </w:rPr>
            </w:pPr>
            <w:r w:rsidRPr="00580F54">
              <w:rPr>
                <w:b/>
                <w:color w:val="FFFFFF"/>
              </w:rPr>
              <w:t>Desirable:</w:t>
            </w:r>
          </w:p>
        </w:tc>
      </w:tr>
      <w:tr w:rsidR="005F7C48" w:rsidRPr="00613D25" w14:paraId="48EA9B62" w14:textId="77777777" w:rsidTr="00202C98">
        <w:trPr>
          <w:trHeight w:val="539"/>
        </w:trPr>
        <w:tc>
          <w:tcPr>
            <w:tcW w:w="9351" w:type="dxa"/>
            <w:shd w:val="clear" w:color="auto" w:fill="auto"/>
          </w:tcPr>
          <w:p w14:paraId="74D2754A" w14:textId="77777777" w:rsidR="005F7C48" w:rsidRDefault="005F7C48" w:rsidP="00B5480B">
            <w:pPr>
              <w:spacing w:after="0" w:line="240" w:lineRule="auto"/>
            </w:pPr>
            <w:r>
              <w:t>Has implemented a recognised Enterprise Architecture framework into a</w:t>
            </w:r>
            <w:r w:rsidR="00B5480B">
              <w:t xml:space="preserve"> large </w:t>
            </w:r>
            <w:r>
              <w:t>organisation.</w:t>
            </w:r>
          </w:p>
        </w:tc>
      </w:tr>
      <w:tr w:rsidR="00ED55DC" w:rsidRPr="00613D25" w14:paraId="22D54736" w14:textId="77777777" w:rsidTr="00202C98">
        <w:trPr>
          <w:trHeight w:val="539"/>
        </w:trPr>
        <w:tc>
          <w:tcPr>
            <w:tcW w:w="9351" w:type="dxa"/>
            <w:shd w:val="clear" w:color="auto" w:fill="auto"/>
          </w:tcPr>
          <w:p w14:paraId="6B57D00C" w14:textId="77777777" w:rsidR="00ED55DC" w:rsidRPr="00613D25" w:rsidRDefault="00C22121" w:rsidP="009A17DE">
            <w:pPr>
              <w:spacing w:after="0" w:line="240" w:lineRule="auto"/>
            </w:pPr>
            <w:r>
              <w:t>Holds a recognised qualification in Enterprise Arc</w:t>
            </w:r>
            <w:r w:rsidR="003E0F36">
              <w:t xml:space="preserve">hitecture and/or </w:t>
            </w:r>
            <w:r w:rsidR="003E0F36" w:rsidRPr="003E0F36">
              <w:rPr>
                <w:rFonts w:asciiTheme="minorHAnsi" w:hAnsiTheme="minorHAnsi" w:cs="Arial"/>
                <w:color w:val="202124"/>
                <w:shd w:val="clear" w:color="auto" w:fill="FFFFFF"/>
              </w:rPr>
              <w:t>Certified Information Systems Security Professional</w:t>
            </w:r>
            <w:r w:rsidR="003E0F36">
              <w:rPr>
                <w:rFonts w:asciiTheme="minorHAnsi" w:hAnsiTheme="minorHAnsi" w:cs="Arial"/>
                <w:color w:val="202124"/>
                <w:shd w:val="clear" w:color="auto" w:fill="FFFFFF"/>
              </w:rPr>
              <w:t xml:space="preserve"> (</w:t>
            </w:r>
            <w:r w:rsidR="003E0F36" w:rsidRPr="003E0F36">
              <w:rPr>
                <w:rFonts w:asciiTheme="minorHAnsi" w:hAnsiTheme="minorHAnsi" w:cs="Arial"/>
                <w:bCs/>
                <w:color w:val="202124"/>
                <w:shd w:val="clear" w:color="auto" w:fill="FFFFFF"/>
              </w:rPr>
              <w:t>CISSP</w:t>
            </w:r>
            <w:r w:rsidR="003E0F36">
              <w:rPr>
                <w:rFonts w:asciiTheme="minorHAnsi" w:hAnsiTheme="minorHAnsi" w:cs="Arial"/>
                <w:bCs/>
                <w:color w:val="202124"/>
                <w:shd w:val="clear" w:color="auto" w:fill="FFFFFF"/>
              </w:rPr>
              <w:t>) qualification</w:t>
            </w:r>
          </w:p>
        </w:tc>
      </w:tr>
      <w:tr w:rsidR="00ED55DC" w:rsidRPr="00613D25" w14:paraId="4FC266D7" w14:textId="77777777" w:rsidTr="00202C98">
        <w:trPr>
          <w:trHeight w:val="539"/>
        </w:trPr>
        <w:tc>
          <w:tcPr>
            <w:tcW w:w="9351" w:type="dxa"/>
            <w:shd w:val="clear" w:color="auto" w:fill="auto"/>
          </w:tcPr>
          <w:p w14:paraId="6B1996FD" w14:textId="77777777" w:rsidR="00ED55DC" w:rsidRPr="00613D25" w:rsidRDefault="0097488B" w:rsidP="00613D25">
            <w:pPr>
              <w:spacing w:after="0" w:line="240" w:lineRule="auto"/>
            </w:pPr>
            <w:r>
              <w:t>Holds at least intermediate level ITIL certification</w:t>
            </w:r>
            <w:r w:rsidR="003E0F36">
              <w:t xml:space="preserve"> and/or a recognised Project Management qualification.</w:t>
            </w:r>
          </w:p>
        </w:tc>
      </w:tr>
      <w:tr w:rsidR="003E0F36" w:rsidRPr="00613D25" w14:paraId="16B26CA7" w14:textId="77777777" w:rsidTr="00202C98">
        <w:trPr>
          <w:trHeight w:val="539"/>
        </w:trPr>
        <w:tc>
          <w:tcPr>
            <w:tcW w:w="9351" w:type="dxa"/>
            <w:shd w:val="clear" w:color="auto" w:fill="auto"/>
          </w:tcPr>
          <w:p w14:paraId="6FF0148E" w14:textId="77777777" w:rsidR="003E0F36" w:rsidRPr="003E0F36" w:rsidRDefault="009844C2" w:rsidP="00613D25">
            <w:pPr>
              <w:spacing w:after="0" w:line="240" w:lineRule="auto"/>
              <w:rPr>
                <w:rFonts w:asciiTheme="minorHAnsi" w:hAnsiTheme="minorHAnsi" w:cs="Arial"/>
                <w:color w:val="202124"/>
                <w:shd w:val="clear" w:color="auto" w:fill="FFFFFF"/>
              </w:rPr>
            </w:pPr>
            <w:r>
              <w:rPr>
                <w:rFonts w:asciiTheme="minorHAnsi" w:hAnsiTheme="minorHAnsi" w:cs="Arial"/>
                <w:bCs/>
                <w:color w:val="202124"/>
                <w:shd w:val="clear" w:color="auto" w:fill="FFFFFF"/>
              </w:rPr>
              <w:t xml:space="preserve">Holds relevant Microsoft or CISCO certifications.  </w:t>
            </w:r>
          </w:p>
          <w:p w14:paraId="68516C3E" w14:textId="77777777" w:rsidR="003E0F36" w:rsidRDefault="003E0F36" w:rsidP="00613D25">
            <w:pPr>
              <w:spacing w:after="0" w:line="240" w:lineRule="auto"/>
            </w:pPr>
          </w:p>
        </w:tc>
      </w:tr>
      <w:tr w:rsidR="0097488B" w:rsidRPr="00613D25" w14:paraId="3485B4F7" w14:textId="77777777" w:rsidTr="00202C98">
        <w:trPr>
          <w:trHeight w:val="539"/>
        </w:trPr>
        <w:tc>
          <w:tcPr>
            <w:tcW w:w="9351" w:type="dxa"/>
            <w:shd w:val="clear" w:color="auto" w:fill="auto"/>
          </w:tcPr>
          <w:p w14:paraId="55FF0C3F" w14:textId="77777777" w:rsidR="0097488B" w:rsidRDefault="0097488B" w:rsidP="003E0F36">
            <w:pPr>
              <w:spacing w:after="0" w:line="240" w:lineRule="auto"/>
            </w:pPr>
          </w:p>
        </w:tc>
      </w:tr>
    </w:tbl>
    <w:p w14:paraId="087C26AD" w14:textId="77777777" w:rsidR="00A223A9" w:rsidRDefault="00A223A9"/>
    <w:p w14:paraId="1DE45E24" w14:textId="77777777" w:rsidR="009A17DE" w:rsidRDefault="001778ED">
      <w:r>
        <w:t>01/06/2021</w:t>
      </w:r>
    </w:p>
    <w:sectPr w:rsidR="009A17D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C9821" w14:textId="77777777" w:rsidR="0048063A" w:rsidRDefault="0048063A" w:rsidP="00267150">
      <w:pPr>
        <w:spacing w:after="0" w:line="240" w:lineRule="auto"/>
      </w:pPr>
      <w:r>
        <w:separator/>
      </w:r>
    </w:p>
  </w:endnote>
  <w:endnote w:type="continuationSeparator" w:id="0">
    <w:p w14:paraId="594559B7" w14:textId="77777777" w:rsidR="0048063A" w:rsidRDefault="0048063A" w:rsidP="00267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C53C2" w14:textId="77777777" w:rsidR="0048063A" w:rsidRDefault="0048063A" w:rsidP="00267150">
      <w:pPr>
        <w:spacing w:after="0" w:line="240" w:lineRule="auto"/>
      </w:pPr>
      <w:r>
        <w:separator/>
      </w:r>
    </w:p>
  </w:footnote>
  <w:footnote w:type="continuationSeparator" w:id="0">
    <w:p w14:paraId="6BD98F6C" w14:textId="77777777" w:rsidR="0048063A" w:rsidRDefault="0048063A" w:rsidP="00267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6CBE3" w14:textId="77777777" w:rsidR="00D60004" w:rsidRDefault="009C2589">
    <w:pPr>
      <w:pStyle w:val="Header"/>
    </w:pPr>
    <w:r>
      <w:tab/>
    </w:r>
    <w:r>
      <w:tab/>
    </w:r>
    <w:r w:rsidR="003E2F8F" w:rsidRPr="001D7DC6">
      <w:rPr>
        <w:rFonts w:ascii="Arial" w:hAnsi="Arial"/>
        <w:noProof/>
        <w:sz w:val="32"/>
        <w:szCs w:val="32"/>
        <w:lang w:eastAsia="en-GB"/>
      </w:rPr>
      <w:drawing>
        <wp:inline distT="0" distB="0" distL="0" distR="0" wp14:anchorId="6B66D9A8" wp14:editId="63B8F7D1">
          <wp:extent cx="1823085" cy="688975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31C96"/>
    <w:multiLevelType w:val="hybridMultilevel"/>
    <w:tmpl w:val="14B0F7E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B30744"/>
    <w:multiLevelType w:val="hybridMultilevel"/>
    <w:tmpl w:val="35E4E15A"/>
    <w:lvl w:ilvl="0" w:tplc="FBFC9B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D2B62"/>
    <w:multiLevelType w:val="multilevel"/>
    <w:tmpl w:val="1B42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A9776A"/>
    <w:multiLevelType w:val="hybridMultilevel"/>
    <w:tmpl w:val="01E29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27A39"/>
    <w:multiLevelType w:val="multilevel"/>
    <w:tmpl w:val="61AA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0436FE"/>
    <w:multiLevelType w:val="hybridMultilevel"/>
    <w:tmpl w:val="CA2A4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3A9"/>
    <w:rsid w:val="00055302"/>
    <w:rsid w:val="00082310"/>
    <w:rsid w:val="000B554E"/>
    <w:rsid w:val="000C5752"/>
    <w:rsid w:val="000D48C4"/>
    <w:rsid w:val="0017214F"/>
    <w:rsid w:val="001731BB"/>
    <w:rsid w:val="001778ED"/>
    <w:rsid w:val="001D7DC6"/>
    <w:rsid w:val="00202C98"/>
    <w:rsid w:val="00213CBA"/>
    <w:rsid w:val="00240A13"/>
    <w:rsid w:val="00250DAE"/>
    <w:rsid w:val="00251CBB"/>
    <w:rsid w:val="00256EDC"/>
    <w:rsid w:val="00267150"/>
    <w:rsid w:val="002D1FB8"/>
    <w:rsid w:val="002E6D92"/>
    <w:rsid w:val="00320DA6"/>
    <w:rsid w:val="003663B1"/>
    <w:rsid w:val="00397089"/>
    <w:rsid w:val="003B269A"/>
    <w:rsid w:val="003E0F36"/>
    <w:rsid w:val="003E2F8F"/>
    <w:rsid w:val="003F2AFB"/>
    <w:rsid w:val="00401C32"/>
    <w:rsid w:val="004316B7"/>
    <w:rsid w:val="00431E18"/>
    <w:rsid w:val="0048063A"/>
    <w:rsid w:val="004D19CE"/>
    <w:rsid w:val="00502DB9"/>
    <w:rsid w:val="0050567E"/>
    <w:rsid w:val="0053065A"/>
    <w:rsid w:val="00547262"/>
    <w:rsid w:val="00580F54"/>
    <w:rsid w:val="005A10B7"/>
    <w:rsid w:val="005D7431"/>
    <w:rsid w:val="005F7C48"/>
    <w:rsid w:val="006101DF"/>
    <w:rsid w:val="00613D25"/>
    <w:rsid w:val="00715480"/>
    <w:rsid w:val="00721CCC"/>
    <w:rsid w:val="00752A71"/>
    <w:rsid w:val="00770075"/>
    <w:rsid w:val="007B0125"/>
    <w:rsid w:val="007B3539"/>
    <w:rsid w:val="0082509F"/>
    <w:rsid w:val="008C3542"/>
    <w:rsid w:val="008C6BFD"/>
    <w:rsid w:val="008D3D67"/>
    <w:rsid w:val="008D6C74"/>
    <w:rsid w:val="009225EC"/>
    <w:rsid w:val="00922AC0"/>
    <w:rsid w:val="00925188"/>
    <w:rsid w:val="00937B12"/>
    <w:rsid w:val="00963C76"/>
    <w:rsid w:val="00974842"/>
    <w:rsid w:val="0097488B"/>
    <w:rsid w:val="009844C2"/>
    <w:rsid w:val="009A17DE"/>
    <w:rsid w:val="009A6EE1"/>
    <w:rsid w:val="009B22C4"/>
    <w:rsid w:val="009C2589"/>
    <w:rsid w:val="009F4037"/>
    <w:rsid w:val="009F7B14"/>
    <w:rsid w:val="00A00549"/>
    <w:rsid w:val="00A04AA5"/>
    <w:rsid w:val="00A223A9"/>
    <w:rsid w:val="00A35DDB"/>
    <w:rsid w:val="00A95C1F"/>
    <w:rsid w:val="00AA2AA7"/>
    <w:rsid w:val="00AA3081"/>
    <w:rsid w:val="00AD243C"/>
    <w:rsid w:val="00B06719"/>
    <w:rsid w:val="00B364AC"/>
    <w:rsid w:val="00B5480B"/>
    <w:rsid w:val="00B92B81"/>
    <w:rsid w:val="00BB6C1C"/>
    <w:rsid w:val="00BF4EC8"/>
    <w:rsid w:val="00BF7F83"/>
    <w:rsid w:val="00C22121"/>
    <w:rsid w:val="00C57C94"/>
    <w:rsid w:val="00C65ABD"/>
    <w:rsid w:val="00CA3BDC"/>
    <w:rsid w:val="00D11B02"/>
    <w:rsid w:val="00D25CB4"/>
    <w:rsid w:val="00D60004"/>
    <w:rsid w:val="00D60FED"/>
    <w:rsid w:val="00DE4FA6"/>
    <w:rsid w:val="00E36C26"/>
    <w:rsid w:val="00EB703A"/>
    <w:rsid w:val="00EB7931"/>
    <w:rsid w:val="00ED55DC"/>
    <w:rsid w:val="00ED78D5"/>
    <w:rsid w:val="00F64752"/>
    <w:rsid w:val="00F86A58"/>
    <w:rsid w:val="00FB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2F461B2F"/>
  <w15:chartTrackingRefBased/>
  <w15:docId w15:val="{F9BF4B3D-AC1C-4F50-9019-FEFA971A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2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7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150"/>
  </w:style>
  <w:style w:type="paragraph" w:styleId="Footer">
    <w:name w:val="footer"/>
    <w:basedOn w:val="Normal"/>
    <w:link w:val="FooterChar"/>
    <w:uiPriority w:val="99"/>
    <w:unhideWhenUsed/>
    <w:rsid w:val="00267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150"/>
  </w:style>
  <w:style w:type="paragraph" w:styleId="BalloonText">
    <w:name w:val="Balloon Text"/>
    <w:basedOn w:val="Normal"/>
    <w:link w:val="BalloonTextChar"/>
    <w:uiPriority w:val="99"/>
    <w:semiHidden/>
    <w:unhideWhenUsed/>
    <w:rsid w:val="00C65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65ABD"/>
    <w:rPr>
      <w:rFonts w:ascii="Segoe UI" w:hAnsi="Segoe UI" w:cs="Segoe UI"/>
      <w:sz w:val="18"/>
      <w:szCs w:val="18"/>
    </w:rPr>
  </w:style>
  <w:style w:type="character" w:styleId="PlaceholderText">
    <w:name w:val="Placeholder Text"/>
    <w:uiPriority w:val="99"/>
    <w:semiHidden/>
    <w:rsid w:val="00B364AC"/>
    <w:rPr>
      <w:color w:val="808080"/>
    </w:rPr>
  </w:style>
  <w:style w:type="character" w:styleId="Hyperlink">
    <w:name w:val="Hyperlink"/>
    <w:uiPriority w:val="99"/>
    <w:unhideWhenUsed/>
    <w:rsid w:val="008D6C7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60004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50567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9A616-1F25-4831-84C4-34FE162D9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Yorkshire Police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SHIPLEY</dc:creator>
  <cp:keywords/>
  <dc:description/>
  <cp:lastModifiedBy>CHRIS PAINTER</cp:lastModifiedBy>
  <cp:revision>6</cp:revision>
  <cp:lastPrinted>2021-06-01T10:23:00Z</cp:lastPrinted>
  <dcterms:created xsi:type="dcterms:W3CDTF">2021-06-01T08:01:00Z</dcterms:created>
  <dcterms:modified xsi:type="dcterms:W3CDTF">2021-10-20T05:56:00Z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529d828-a824-4b78-ab24-eaae5922aa38_Enabled">
    <vt:lpwstr>True</vt:lpwstr>
  </property>
  <property fmtid="{D5CDD505-2E9C-101B-9397-08002B2CF9AE}" pid="3" name="MSIP_Label_f529d828-a824-4b78-ab24-eaae5922aa38_SiteId">
    <vt:lpwstr>b23255a1-8f78-4144-8904-31f019036ade</vt:lpwstr>
  </property>
  <property fmtid="{D5CDD505-2E9C-101B-9397-08002B2CF9AE}" pid="4" name="MSIP_Label_f529d828-a824-4b78-ab24-eaae5922aa38_Owner">
    <vt:lpwstr>Richard.Hutton@southyorkshire.police.uk</vt:lpwstr>
  </property>
  <property fmtid="{D5CDD505-2E9C-101B-9397-08002B2CF9AE}" pid="5" name="MSIP_Label_f529d828-a824-4b78-ab24-eaae5922aa38_SetDate">
    <vt:lpwstr>2020-08-04T06:43:33.6904180Z</vt:lpwstr>
  </property>
  <property fmtid="{D5CDD505-2E9C-101B-9397-08002B2CF9AE}" pid="6" name="MSIP_Label_f529d828-a824-4b78-ab24-eaae5922aa38_Name">
    <vt:lpwstr>OFFICIAL</vt:lpwstr>
  </property>
  <property fmtid="{D5CDD505-2E9C-101B-9397-08002B2CF9AE}" pid="7" name="MSIP_Label_f529d828-a824-4b78-ab24-eaae5922aa38_Application">
    <vt:lpwstr>Microsoft Azure Information Protection</vt:lpwstr>
  </property>
  <property fmtid="{D5CDD505-2E9C-101B-9397-08002B2CF9AE}" pid="8" name="MSIP_Label_f529d828-a824-4b78-ab24-eaae5922aa38_Extended_MSFT_Method">
    <vt:lpwstr>Automatic</vt:lpwstr>
  </property>
  <property fmtid="{D5CDD505-2E9C-101B-9397-08002B2CF9AE}" pid="9" name="Sensitivity">
    <vt:lpwstr>OFFICIAL</vt:lpwstr>
  </property>
</Properties>
</file>