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04"/>
        <w:gridCol w:w="1242"/>
        <w:gridCol w:w="3049"/>
        <w:gridCol w:w="1418"/>
        <w:gridCol w:w="2659"/>
        <w:gridCol w:w="528"/>
      </w:tblGrid>
      <w:tr w:rsidR="00262045" w14:paraId="2919FE66" w14:textId="77777777" w:rsidTr="00262045">
        <w:tc>
          <w:tcPr>
            <w:tcW w:w="8755" w:type="dxa"/>
            <w:gridSpan w:val="3"/>
            <w:vAlign w:val="center"/>
          </w:tcPr>
          <w:p w14:paraId="704114FE" w14:textId="50925CF5" w:rsidR="00262045" w:rsidRPr="00F7545E" w:rsidRDefault="00677C5F" w:rsidP="00E71F1D">
            <w:pPr>
              <w:rPr>
                <w:b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Job Description</w:t>
            </w:r>
          </w:p>
        </w:tc>
        <w:tc>
          <w:tcPr>
            <w:tcW w:w="7654" w:type="dxa"/>
            <w:gridSpan w:val="4"/>
            <w:vMerge w:val="restart"/>
          </w:tcPr>
          <w:p w14:paraId="0BCF41BF" w14:textId="77777777" w:rsidR="00262045" w:rsidRDefault="00675656" w:rsidP="00262045">
            <w:pPr>
              <w:jc w:val="center"/>
            </w:pPr>
            <w:r w:rsidRPr="002A59E5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541B485" wp14:editId="255FBB8E">
                  <wp:simplePos x="0" y="0"/>
                  <wp:positionH relativeFrom="column">
                    <wp:posOffset>208104</wp:posOffset>
                  </wp:positionH>
                  <wp:positionV relativeFrom="paragraph">
                    <wp:posOffset>308</wp:posOffset>
                  </wp:positionV>
                  <wp:extent cx="3524250" cy="1005840"/>
                  <wp:effectExtent l="0" t="0" r="0" b="3810"/>
                  <wp:wrapTight wrapText="bothSides">
                    <wp:wrapPolygon edited="0">
                      <wp:start x="2452" y="0"/>
                      <wp:lineTo x="1635" y="1636"/>
                      <wp:lineTo x="701" y="5318"/>
                      <wp:lineTo x="0" y="11045"/>
                      <wp:lineTo x="0" y="11864"/>
                      <wp:lineTo x="467" y="13091"/>
                      <wp:lineTo x="467" y="16773"/>
                      <wp:lineTo x="1284" y="19636"/>
                      <wp:lineTo x="2452" y="19636"/>
                      <wp:lineTo x="2569" y="21273"/>
                      <wp:lineTo x="3152" y="21273"/>
                      <wp:lineTo x="3269" y="19636"/>
                      <wp:lineTo x="21483" y="18000"/>
                      <wp:lineTo x="21483" y="15136"/>
                      <wp:lineTo x="20432" y="13091"/>
                      <wp:lineTo x="21483" y="12682"/>
                      <wp:lineTo x="21483" y="4909"/>
                      <wp:lineTo x="14945" y="0"/>
                      <wp:lineTo x="2452" y="0"/>
                    </wp:wrapPolygon>
                  </wp:wrapTight>
                  <wp:docPr id="1" name="Picture 1" descr="C:\USERDOCS\745345\Documents\My Pictures\SYP_cmyk (no backgroun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DOCS\745345\Documents\My Pictures\SYP_cmyk (no backgroun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2045" w14:paraId="760F5A40" w14:textId="77777777" w:rsidTr="009E603F">
        <w:trPr>
          <w:trHeight w:val="636"/>
        </w:trPr>
        <w:tc>
          <w:tcPr>
            <w:tcW w:w="8755" w:type="dxa"/>
            <w:gridSpan w:val="3"/>
            <w:shd w:val="clear" w:color="auto" w:fill="0E3E67"/>
            <w:vAlign w:val="center"/>
          </w:tcPr>
          <w:p w14:paraId="654169DE" w14:textId="6E17C0EE" w:rsidR="00262045" w:rsidRPr="009E603F" w:rsidRDefault="00677C5F" w:rsidP="006F0B86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>Job Title</w:t>
            </w:r>
            <w:r w:rsidR="008C6C46">
              <w:rPr>
                <w:rFonts w:ascii="Arial" w:hAnsi="Arial" w:cs="Arial"/>
                <w:b/>
                <w:spacing w:val="-2"/>
                <w:sz w:val="36"/>
                <w:szCs w:val="36"/>
              </w:rPr>
              <w:t>:</w:t>
            </w:r>
            <w:r w:rsidR="008E1EC5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 </w:t>
            </w:r>
            <w:r w:rsidR="00AF5816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OH </w:t>
            </w:r>
            <w:r w:rsidR="006F0B86">
              <w:rPr>
                <w:rFonts w:ascii="Arial" w:hAnsi="Arial" w:cs="Arial"/>
                <w:b/>
                <w:spacing w:val="-2"/>
                <w:sz w:val="36"/>
                <w:szCs w:val="36"/>
              </w:rPr>
              <w:t>Counsellor</w:t>
            </w:r>
          </w:p>
        </w:tc>
        <w:tc>
          <w:tcPr>
            <w:tcW w:w="7654" w:type="dxa"/>
            <w:gridSpan w:val="4"/>
            <w:vMerge/>
          </w:tcPr>
          <w:p w14:paraId="1987492F" w14:textId="77777777" w:rsidR="00262045" w:rsidRDefault="00262045" w:rsidP="00E71F1D"/>
        </w:tc>
      </w:tr>
      <w:tr w:rsidR="00262045" w14:paraId="3A7D2994" w14:textId="77777777" w:rsidTr="009E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0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60642B5" w14:textId="76D64691" w:rsidR="00262045" w:rsidRPr="0046091C" w:rsidRDefault="00262045" w:rsidP="00262045">
            <w:r w:rsidRPr="00F7545E">
              <w:rPr>
                <w:b/>
                <w:sz w:val="24"/>
                <w:szCs w:val="24"/>
              </w:rPr>
              <w:t>Service:</w:t>
            </w:r>
            <w:r w:rsidR="00460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793A0486" w14:textId="5606A6FC" w:rsidR="00262045" w:rsidRPr="009E603F" w:rsidRDefault="0046091C" w:rsidP="009E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1CC82AA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5DBD8282" w14:textId="4582F1F9" w:rsidR="00262045" w:rsidRPr="009E603F" w:rsidRDefault="005F37A8" w:rsidP="00262045">
            <w:pPr>
              <w:rPr>
                <w:color w:val="FF0000"/>
                <w:sz w:val="24"/>
                <w:szCs w:val="24"/>
              </w:rPr>
            </w:pPr>
            <w:r w:rsidRPr="005F37A8">
              <w:rPr>
                <w:sz w:val="24"/>
                <w:szCs w:val="24"/>
              </w:rPr>
              <w:t>E</w:t>
            </w:r>
            <w:r w:rsidR="00B1657A">
              <w:rPr>
                <w:sz w:val="24"/>
                <w:szCs w:val="24"/>
              </w:rPr>
              <w:t xml:space="preserve"> (MRS applies)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48B65" w14:textId="162FAE01" w:rsidR="00262045" w:rsidRDefault="00262045" w:rsidP="00262045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2A4772F" w14:textId="77777777" w:rsidR="00262045" w:rsidRDefault="00262045" w:rsidP="00E71F1D"/>
        </w:tc>
      </w:tr>
      <w:tr w:rsidR="00262045" w14:paraId="1237B34B" w14:textId="77777777" w:rsidTr="009E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9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EB0F4FE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Reporting to: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15B3B980" w14:textId="5CD66F3F" w:rsidR="00262045" w:rsidRPr="00F7545E" w:rsidRDefault="008E1EC5" w:rsidP="006F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6F0B86">
              <w:rPr>
                <w:sz w:val="24"/>
                <w:szCs w:val="24"/>
              </w:rPr>
              <w:t>Counsellor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E0157B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1A4C913" w14:textId="687C3729" w:rsidR="00262045" w:rsidRPr="00F7545E" w:rsidRDefault="008E1EC5" w:rsidP="00E71F1D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Escafeld House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C2E359" w14:textId="005D171C" w:rsidR="00262045" w:rsidRDefault="00262045" w:rsidP="00262045">
            <w:r w:rsidRPr="00F7545E">
              <w:rPr>
                <w:b/>
                <w:sz w:val="24"/>
                <w:szCs w:val="24"/>
              </w:rPr>
              <w:t>Hours:</w:t>
            </w:r>
            <w:r w:rsidR="008E1EC5">
              <w:rPr>
                <w:b/>
                <w:sz w:val="24"/>
                <w:szCs w:val="24"/>
              </w:rPr>
              <w:t xml:space="preserve"> </w:t>
            </w:r>
            <w:r w:rsidR="008E1EC5" w:rsidRPr="008E1EC5">
              <w:rPr>
                <w:sz w:val="24"/>
                <w:szCs w:val="24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498BA81" w14:textId="2937CB13" w:rsidR="00262045" w:rsidRPr="001C5D1D" w:rsidRDefault="00262045" w:rsidP="00262045">
            <w:pPr>
              <w:rPr>
                <w:color w:val="FF0000"/>
              </w:rPr>
            </w:pPr>
          </w:p>
        </w:tc>
      </w:tr>
    </w:tbl>
    <w:p w14:paraId="7DE60235" w14:textId="77777777" w:rsidR="00262045" w:rsidRPr="00A55649" w:rsidRDefault="00262045" w:rsidP="00262045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9"/>
        <w:gridCol w:w="250"/>
      </w:tblGrid>
      <w:tr w:rsidR="00677C5F" w14:paraId="0AD0A619" w14:textId="77777777" w:rsidTr="00677C5F">
        <w:trPr>
          <w:trHeight w:val="1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0E3E67"/>
          </w:tcPr>
          <w:p w14:paraId="46BF84FF" w14:textId="3A28EA01" w:rsidR="00677C5F" w:rsidRPr="002A09DF" w:rsidRDefault="00677C5F" w:rsidP="0026204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Role Purpose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5E16AF" w14:textId="77777777" w:rsidR="00677C5F" w:rsidRDefault="00677C5F" w:rsidP="00262045"/>
        </w:tc>
      </w:tr>
      <w:tr w:rsidR="00677C5F" w14:paraId="30ADE6E8" w14:textId="77777777" w:rsidTr="00677C5F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14:paraId="0180C343" w14:textId="77777777" w:rsidR="00677C5F" w:rsidRDefault="00677C5F" w:rsidP="00F45F88">
            <w:pPr>
              <w:jc w:val="both"/>
            </w:pPr>
            <w:r w:rsidRPr="00E36CD6">
              <w:t xml:space="preserve"> </w:t>
            </w:r>
          </w:p>
          <w:p w14:paraId="5F413C3A" w14:textId="578AF4B3" w:rsidR="00677C5F" w:rsidRPr="00F45F88" w:rsidRDefault="00553BC6" w:rsidP="006A63CB">
            <w:r>
              <w:t xml:space="preserve">The </w:t>
            </w:r>
            <w:r w:rsidR="00686206">
              <w:t xml:space="preserve">OH </w:t>
            </w:r>
            <w:r w:rsidR="006F0B86">
              <w:t>Counsellor</w:t>
            </w:r>
            <w:r>
              <w:t xml:space="preserve"> </w:t>
            </w:r>
            <w:r w:rsidR="000D7191">
              <w:t xml:space="preserve">role </w:t>
            </w:r>
            <w:r>
              <w:t xml:space="preserve">resides within the Wellbeing Team and is critical to the core function of </w:t>
            </w:r>
            <w:r w:rsidR="008E1EC5">
              <w:t xml:space="preserve">the overall wellbeing service. </w:t>
            </w:r>
            <w:r>
              <w:t xml:space="preserve">The </w:t>
            </w:r>
            <w:r w:rsidR="008E1EC5">
              <w:t xml:space="preserve">role </w:t>
            </w:r>
            <w:r w:rsidR="000D7191">
              <w:t xml:space="preserve">is required to provide psychological support </w:t>
            </w:r>
            <w:r w:rsidR="00520CBE">
              <w:t>for the</w:t>
            </w:r>
            <w:r w:rsidR="000D7191">
              <w:t xml:space="preserve"> workforce</w:t>
            </w:r>
            <w:r w:rsidR="00520CBE">
              <w:t xml:space="preserve"> in the form of counselling, psychological healt</w:t>
            </w:r>
            <w:r w:rsidR="00686206">
              <w:t xml:space="preserve">h screening </w:t>
            </w:r>
            <w:r w:rsidR="00520CBE">
              <w:t>and health p</w:t>
            </w:r>
            <w:r w:rsidR="008C6C46">
              <w:t>romotion services. Support can e</w:t>
            </w:r>
            <w:r w:rsidR="00520CBE">
              <w:t>ither be through</w:t>
            </w:r>
            <w:r w:rsidR="000D7191">
              <w:t xml:space="preserve"> the direct provision of appropriate services or via signposting to </w:t>
            </w:r>
            <w:r w:rsidR="00520CBE">
              <w:t xml:space="preserve">agreed </w:t>
            </w:r>
            <w:r w:rsidR="000D7191">
              <w:t>external</w:t>
            </w:r>
            <w:r w:rsidR="00520CBE">
              <w:t xml:space="preserve"> services</w:t>
            </w:r>
            <w:r w:rsidR="000D7191">
              <w:t>.</w:t>
            </w:r>
            <w:r w:rsidR="006A63CB" w:rsidRPr="000D7191">
              <w:t xml:space="preserve"> Specific areas</w:t>
            </w:r>
            <w:r w:rsidR="006A63CB">
              <w:t xml:space="preserve"> for </w:t>
            </w:r>
            <w:r w:rsidR="004D229E">
              <w:t>therapy</w:t>
            </w:r>
            <w:r w:rsidR="006A63CB">
              <w:t xml:space="preserve"> include; post-</w:t>
            </w:r>
            <w:r w:rsidR="006A63CB" w:rsidRPr="000D7191">
              <w:t>traumatic stress, work related stress, bereavement, depression, anxiety, ill h</w:t>
            </w:r>
            <w:r w:rsidR="006A63CB">
              <w:t xml:space="preserve">ealth and </w:t>
            </w:r>
            <w:r w:rsidR="006A63CB" w:rsidRPr="000D7191">
              <w:t>psychological resilience strategies.</w:t>
            </w:r>
          </w:p>
          <w:p w14:paraId="0B38BC07" w14:textId="4FA14E3A" w:rsidR="00677C5F" w:rsidRPr="00F9010E" w:rsidRDefault="00677C5F" w:rsidP="0046091C">
            <w:pPr>
              <w:pStyle w:val="ListParagraph"/>
              <w:spacing w:before="120"/>
              <w:rPr>
                <w:rFonts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921E74" w14:textId="77777777" w:rsidR="00677C5F" w:rsidRPr="00E36CD6" w:rsidRDefault="00677C5F" w:rsidP="00747AAD">
            <w:pPr>
              <w:jc w:val="both"/>
            </w:pPr>
          </w:p>
        </w:tc>
      </w:tr>
      <w:tr w:rsidR="00677C5F" w:rsidRPr="00677C5F" w14:paraId="434B6CD2" w14:textId="77777777" w:rsidTr="00677C5F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14:paraId="244512B4" w14:textId="3DBB7A95" w:rsidR="00677C5F" w:rsidRPr="00677C5F" w:rsidRDefault="00677C5F" w:rsidP="00F45F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677C5F">
              <w:rPr>
                <w:b/>
                <w:color w:val="FFFFFF" w:themeColor="background1"/>
                <w:sz w:val="28"/>
                <w:szCs w:val="28"/>
              </w:rPr>
              <w:t>Key Accountabilities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14:paraId="08EB3B37" w14:textId="77777777" w:rsidR="00677C5F" w:rsidRPr="00677C5F" w:rsidRDefault="00677C5F" w:rsidP="00747AAD">
            <w:pPr>
              <w:jc w:val="both"/>
              <w:rPr>
                <w:color w:val="FFFFFF" w:themeColor="background1"/>
              </w:rPr>
            </w:pPr>
          </w:p>
        </w:tc>
      </w:tr>
    </w:tbl>
    <w:p w14:paraId="54D1C2A7" w14:textId="440ACDD8" w:rsidR="00EB5888" w:rsidRDefault="00EB5888" w:rsidP="00EB5888">
      <w:pPr>
        <w:jc w:val="both"/>
        <w:rPr>
          <w:sz w:val="14"/>
        </w:rPr>
      </w:pPr>
    </w:p>
    <w:p w14:paraId="2085383F" w14:textId="3C78EFBA" w:rsidR="00AF5816" w:rsidRPr="00B04F41" w:rsidRDefault="00AF5816" w:rsidP="00667799">
      <w:pPr>
        <w:pStyle w:val="ListParagraph"/>
        <w:numPr>
          <w:ilvl w:val="0"/>
          <w:numId w:val="30"/>
        </w:numPr>
        <w:jc w:val="both"/>
      </w:pPr>
      <w:r w:rsidRPr="00B04F41">
        <w:t>Delivery of comprehensive quality</w:t>
      </w:r>
      <w:r w:rsidR="00A0043A" w:rsidRPr="00B04F41">
        <w:t xml:space="preserve"> </w:t>
      </w:r>
      <w:r w:rsidR="00667799" w:rsidRPr="00B04F41">
        <w:t>therapy</w:t>
      </w:r>
      <w:r w:rsidR="00A0043A" w:rsidRPr="00B04F41">
        <w:t xml:space="preserve"> </w:t>
      </w:r>
      <w:r w:rsidR="000D7191" w:rsidRPr="00B04F41">
        <w:t>services</w:t>
      </w:r>
      <w:r w:rsidR="00A0043A" w:rsidRPr="00B04F41">
        <w:t xml:space="preserve"> </w:t>
      </w:r>
      <w:r w:rsidR="006A63CB" w:rsidRPr="00B04F41">
        <w:t>in line</w:t>
      </w:r>
      <w:r w:rsidR="00A0043A" w:rsidRPr="00B04F41">
        <w:t xml:space="preserve"> </w:t>
      </w:r>
      <w:r w:rsidR="006A63CB" w:rsidRPr="00B04F41">
        <w:t xml:space="preserve">with the </w:t>
      </w:r>
      <w:r w:rsidR="00A0043A" w:rsidRPr="00B04F41">
        <w:t xml:space="preserve">South Yorkshire Police </w:t>
      </w:r>
      <w:r w:rsidR="00667799" w:rsidRPr="00B04F41">
        <w:t>policies</w:t>
      </w:r>
      <w:r w:rsidRPr="00B04F41">
        <w:t xml:space="preserve"> and </w:t>
      </w:r>
      <w:r w:rsidR="00667799" w:rsidRPr="00B04F41">
        <w:t>good practice guidance of governing bodies including BACP.</w:t>
      </w:r>
    </w:p>
    <w:p w14:paraId="2B8428A9" w14:textId="7491E831" w:rsidR="00EB5888" w:rsidRPr="00B04F41" w:rsidRDefault="00AF5816" w:rsidP="000D7191">
      <w:pPr>
        <w:pStyle w:val="ListParagraph"/>
        <w:numPr>
          <w:ilvl w:val="0"/>
          <w:numId w:val="30"/>
        </w:numPr>
        <w:jc w:val="both"/>
      </w:pPr>
      <w:r w:rsidRPr="00B04F41">
        <w:t xml:space="preserve">Conduct appropriate </w:t>
      </w:r>
      <w:r w:rsidR="00667799" w:rsidRPr="00B04F41">
        <w:t>short term, work based therapy</w:t>
      </w:r>
      <w:r w:rsidRPr="00B04F41">
        <w:t xml:space="preserve">, wellbeing and risk assessment services in line with policy, </w:t>
      </w:r>
      <w:r w:rsidR="00667799" w:rsidRPr="00B04F41">
        <w:t xml:space="preserve">including </w:t>
      </w:r>
      <w:r w:rsidR="00A0043A" w:rsidRPr="00B04F41">
        <w:t>signposting to services, w</w:t>
      </w:r>
      <w:r w:rsidR="00B52AD4" w:rsidRPr="00B04F41">
        <w:t>h</w:t>
      </w:r>
      <w:r w:rsidR="00A0043A" w:rsidRPr="00B04F41">
        <w:t>ere required.</w:t>
      </w:r>
    </w:p>
    <w:p w14:paraId="293E5C8E" w14:textId="7FAD5AF0" w:rsidR="00AF5816" w:rsidRPr="00B04F41" w:rsidRDefault="00AF5816" w:rsidP="00AF5816">
      <w:pPr>
        <w:pStyle w:val="ListParagraph"/>
        <w:numPr>
          <w:ilvl w:val="0"/>
          <w:numId w:val="30"/>
        </w:numPr>
        <w:jc w:val="both"/>
      </w:pPr>
      <w:r w:rsidRPr="00B04F41">
        <w:t>To work within a trauma informed framework foc</w:t>
      </w:r>
      <w:r w:rsidR="00120B35" w:rsidRPr="00B04F41">
        <w:t xml:space="preserve">ussing on </w:t>
      </w:r>
      <w:r w:rsidR="00667799" w:rsidRPr="00B04F41">
        <w:t xml:space="preserve">occupational health and wellbeing </w:t>
      </w:r>
      <w:r w:rsidRPr="00B04F41">
        <w:t>in line with South</w:t>
      </w:r>
      <w:r w:rsidR="00667799" w:rsidRPr="00B04F41">
        <w:t xml:space="preserve"> Yorkshire Police policies and procedures</w:t>
      </w:r>
      <w:r w:rsidRPr="00B04F41">
        <w:t>.</w:t>
      </w:r>
    </w:p>
    <w:p w14:paraId="2E182B04" w14:textId="6DF2B330" w:rsidR="00AF5816" w:rsidRPr="00B04F41" w:rsidRDefault="00AF5816" w:rsidP="00AF5816">
      <w:pPr>
        <w:pStyle w:val="ListParagraph"/>
        <w:numPr>
          <w:ilvl w:val="0"/>
          <w:numId w:val="30"/>
        </w:numPr>
        <w:jc w:val="both"/>
      </w:pPr>
      <w:r w:rsidRPr="00B04F41">
        <w:t xml:space="preserve">Apply therapeutic modalities </w:t>
      </w:r>
      <w:r w:rsidR="00667799" w:rsidRPr="00B04F41">
        <w:t>effectively and flexibly to respond to the occupational health needs of employees.</w:t>
      </w:r>
    </w:p>
    <w:p w14:paraId="5FDC5ECF" w14:textId="11627899" w:rsidR="00241163" w:rsidRPr="00B04F41" w:rsidRDefault="00241163" w:rsidP="00241163">
      <w:pPr>
        <w:pStyle w:val="ListParagraph"/>
        <w:numPr>
          <w:ilvl w:val="0"/>
          <w:numId w:val="30"/>
        </w:numPr>
        <w:jc w:val="both"/>
      </w:pPr>
      <w:r w:rsidRPr="00B04F41">
        <w:t xml:space="preserve">Conduct Psychological Health </w:t>
      </w:r>
      <w:r w:rsidR="00667799" w:rsidRPr="00B04F41">
        <w:t xml:space="preserve">Surveillance </w:t>
      </w:r>
      <w:r w:rsidRPr="00B04F41">
        <w:t xml:space="preserve">(PHS) </w:t>
      </w:r>
      <w:r w:rsidR="00667799" w:rsidRPr="00B04F41">
        <w:t xml:space="preserve">including structured interviews </w:t>
      </w:r>
      <w:r w:rsidRPr="00B04F41">
        <w:t>as part of the PHS programme e.g. Sexual Offence/Child Abuse Unit, Traffic, Family Liaison Officers, Criminal Investigations Department (CID) etc.</w:t>
      </w:r>
    </w:p>
    <w:p w14:paraId="5C40C3C0" w14:textId="16B9A40E" w:rsidR="00B52AD4" w:rsidRPr="00B04F41" w:rsidRDefault="00AF5816" w:rsidP="00B52AD4">
      <w:pPr>
        <w:pStyle w:val="ListParagraph"/>
        <w:numPr>
          <w:ilvl w:val="0"/>
          <w:numId w:val="30"/>
        </w:numPr>
        <w:jc w:val="both"/>
      </w:pPr>
      <w:r w:rsidRPr="00B04F41">
        <w:t>Plan, prioritise and m</w:t>
      </w:r>
      <w:r w:rsidR="00B52AD4" w:rsidRPr="00B04F41">
        <w:t xml:space="preserve">anage own caseload within agreed timescales and frequency as indicated in the Force service agreement.  </w:t>
      </w:r>
    </w:p>
    <w:p w14:paraId="05E8BC6B" w14:textId="17E4C05B" w:rsidR="00241163" w:rsidRPr="00B04F41" w:rsidRDefault="00AF5816" w:rsidP="003F78B0">
      <w:pPr>
        <w:pStyle w:val="ListParagraph"/>
        <w:numPr>
          <w:ilvl w:val="0"/>
          <w:numId w:val="30"/>
        </w:numPr>
        <w:jc w:val="both"/>
      </w:pPr>
      <w:r w:rsidRPr="00B04F41">
        <w:t>Responsible for maintaining continuous professional development (CPD) and maintenance of evidence-based practice, including regular review of work, completion of relevant clinical practice measurement tools and attending monthly</w:t>
      </w:r>
      <w:r w:rsidR="00667799" w:rsidRPr="00B04F41">
        <w:t xml:space="preserve"> clinical</w:t>
      </w:r>
      <w:r w:rsidRPr="00B04F41">
        <w:t xml:space="preserve"> supervision.</w:t>
      </w:r>
    </w:p>
    <w:p w14:paraId="751F0392" w14:textId="31ABD5D9" w:rsidR="00AF5816" w:rsidRPr="00B04F41" w:rsidRDefault="00AF5816" w:rsidP="00AF5816">
      <w:pPr>
        <w:pStyle w:val="ListParagraph"/>
        <w:numPr>
          <w:ilvl w:val="0"/>
          <w:numId w:val="30"/>
        </w:numPr>
        <w:jc w:val="both"/>
      </w:pPr>
      <w:r w:rsidRPr="00B04F41">
        <w:t xml:space="preserve">Promoting services and offering proactive </w:t>
      </w:r>
      <w:r w:rsidR="00B04F41" w:rsidRPr="00B04F41">
        <w:t>interventions including</w:t>
      </w:r>
      <w:bookmarkStart w:id="0" w:name="_GoBack"/>
      <w:bookmarkEnd w:id="0"/>
      <w:r w:rsidR="00B04F41" w:rsidRPr="00B04F41">
        <w:t xml:space="preserve"> </w:t>
      </w:r>
      <w:r w:rsidR="00B04F41" w:rsidRPr="00B04F41">
        <w:t>group therapy, education and training on trauma</w:t>
      </w:r>
      <w:r w:rsidR="00B04F41" w:rsidRPr="00B04F41">
        <w:t xml:space="preserve"> resilience and workplace stress,</w:t>
      </w:r>
      <w:r w:rsidRPr="00B04F41">
        <w:t xml:space="preserve"> for officers and staff.</w:t>
      </w:r>
    </w:p>
    <w:p w14:paraId="39932CE6" w14:textId="36BBD796" w:rsidR="00AF5816" w:rsidRPr="00B04F41" w:rsidRDefault="00AF5816" w:rsidP="00AF5816">
      <w:pPr>
        <w:pStyle w:val="ListParagraph"/>
        <w:numPr>
          <w:ilvl w:val="0"/>
          <w:numId w:val="30"/>
        </w:numPr>
        <w:jc w:val="both"/>
      </w:pPr>
      <w:r w:rsidRPr="00B04F41">
        <w:t>Contribute towards research, planning, writing and delivery of psychoeducation and training in individual or group settings.</w:t>
      </w:r>
    </w:p>
    <w:p w14:paraId="5A06ABA4" w14:textId="5CB140EF" w:rsidR="00882D9A" w:rsidRPr="00B04F41" w:rsidRDefault="00882D9A" w:rsidP="000D7191">
      <w:pPr>
        <w:pStyle w:val="ListParagraph"/>
        <w:numPr>
          <w:ilvl w:val="0"/>
          <w:numId w:val="30"/>
        </w:numPr>
        <w:jc w:val="both"/>
      </w:pPr>
      <w:r w:rsidRPr="00B04F41">
        <w:t xml:space="preserve">Ensure all records are </w:t>
      </w:r>
      <w:r w:rsidR="00D14F55" w:rsidRPr="00B04F41">
        <w:t>accurately</w:t>
      </w:r>
      <w:r w:rsidR="008E1EC5" w:rsidRPr="00B04F41">
        <w:t xml:space="preserve"> updated </w:t>
      </w:r>
      <w:r w:rsidR="00AF5816" w:rsidRPr="00B04F41">
        <w:t>on the electronic management system</w:t>
      </w:r>
      <w:r w:rsidRPr="00B04F41">
        <w:t xml:space="preserve"> </w:t>
      </w:r>
      <w:r w:rsidR="00B04F41" w:rsidRPr="00B04F41">
        <w:t>i</w:t>
      </w:r>
      <w:r w:rsidR="00B04F41" w:rsidRPr="00B04F41">
        <w:t>n line with good practice standards as defined by organisational policies and procedures and BACP.</w:t>
      </w:r>
    </w:p>
    <w:p w14:paraId="0CA86336" w14:textId="63680F39" w:rsidR="00B7311B" w:rsidRDefault="00B7311B" w:rsidP="000D7191">
      <w:pPr>
        <w:pStyle w:val="ListParagraph"/>
        <w:numPr>
          <w:ilvl w:val="0"/>
          <w:numId w:val="30"/>
        </w:numPr>
        <w:jc w:val="both"/>
      </w:pPr>
      <w:r>
        <w:t>Support colleagues via peer supervision</w:t>
      </w:r>
      <w:r w:rsidR="00D14F55">
        <w:t xml:space="preserve"> and assist others with their caseload</w:t>
      </w:r>
      <w:r w:rsidR="0070384D">
        <w:t>.</w:t>
      </w:r>
    </w:p>
    <w:p w14:paraId="41A719D4" w14:textId="0F8EEC78" w:rsidR="00AF5816" w:rsidRDefault="00241163" w:rsidP="0018706E">
      <w:pPr>
        <w:pStyle w:val="ListParagraph"/>
        <w:numPr>
          <w:ilvl w:val="0"/>
          <w:numId w:val="30"/>
        </w:numPr>
        <w:jc w:val="both"/>
      </w:pPr>
      <w:r>
        <w:t xml:space="preserve">Support the development of </w:t>
      </w:r>
      <w:r w:rsidR="00120B35">
        <w:t>the electronic management system and</w:t>
      </w:r>
      <w:r>
        <w:t xml:space="preserve"> </w:t>
      </w:r>
      <w:r w:rsidR="00120B35">
        <w:t>provide</w:t>
      </w:r>
      <w:r w:rsidR="00D14F55">
        <w:t xml:space="preserve"> statistical </w:t>
      </w:r>
      <w:r w:rsidR="00120B35">
        <w:t>data</w:t>
      </w:r>
      <w:r w:rsidR="00D14F55">
        <w:t xml:space="preserve"> for counselling activities delivered</w:t>
      </w:r>
      <w:r w:rsidR="00120B35">
        <w:t>,</w:t>
      </w:r>
      <w:r w:rsidR="00D14F55">
        <w:t xml:space="preserve"> </w:t>
      </w:r>
      <w:r w:rsidR="00D21584">
        <w:t xml:space="preserve">in order </w:t>
      </w:r>
      <w:r w:rsidR="00D14F55">
        <w:t>to support general understanding of the caseload and demand for services</w:t>
      </w:r>
      <w:r w:rsidR="0070384D">
        <w:t>.</w:t>
      </w:r>
      <w:r w:rsidR="00AF5816" w:rsidRPr="00AF581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5"/>
        <w:gridCol w:w="410"/>
        <w:gridCol w:w="8080"/>
      </w:tblGrid>
      <w:tr w:rsidR="00A9201F" w14:paraId="2A63C4C8" w14:textId="77777777" w:rsidTr="00B1657A">
        <w:trPr>
          <w:trHeight w:val="567"/>
        </w:trPr>
        <w:tc>
          <w:tcPr>
            <w:tcW w:w="7245" w:type="dxa"/>
            <w:shd w:val="clear" w:color="auto" w:fill="17365D" w:themeFill="text2" w:themeFillShade="BF"/>
          </w:tcPr>
          <w:p w14:paraId="41E1962B" w14:textId="77777777" w:rsidR="00A9201F" w:rsidRPr="002A09DF" w:rsidRDefault="002A09DF" w:rsidP="00747AAD">
            <w:pPr>
              <w:jc w:val="both"/>
              <w:rPr>
                <w:b/>
                <w:sz w:val="28"/>
                <w:szCs w:val="28"/>
              </w:rPr>
            </w:pPr>
            <w:r w:rsidRPr="002A09DF">
              <w:rPr>
                <w:b/>
                <w:color w:val="FFFFFF" w:themeColor="background1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410" w:type="dxa"/>
          </w:tcPr>
          <w:p w14:paraId="064ABCF3" w14:textId="77777777" w:rsidR="00A9201F" w:rsidRDefault="00A9201F" w:rsidP="00747AAD">
            <w:pPr>
              <w:jc w:val="both"/>
            </w:pPr>
          </w:p>
        </w:tc>
        <w:tc>
          <w:tcPr>
            <w:tcW w:w="8080" w:type="dxa"/>
            <w:shd w:val="clear" w:color="auto" w:fill="17365D" w:themeFill="text2" w:themeFillShade="BF"/>
          </w:tcPr>
          <w:p w14:paraId="7C3F7B22" w14:textId="7EB8D39F" w:rsidR="00677C5F" w:rsidRPr="00677C5F" w:rsidRDefault="002A09DF" w:rsidP="002A09D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Education and Experience</w:t>
            </w:r>
          </w:p>
        </w:tc>
      </w:tr>
      <w:tr w:rsidR="00677C5F" w14:paraId="5C824B86" w14:textId="77777777" w:rsidTr="00B1657A">
        <w:trPr>
          <w:trHeight w:val="3028"/>
        </w:trPr>
        <w:tc>
          <w:tcPr>
            <w:tcW w:w="7245" w:type="dxa"/>
            <w:vMerge w:val="restart"/>
          </w:tcPr>
          <w:p w14:paraId="50810931" w14:textId="77777777" w:rsidR="00677C5F" w:rsidRPr="00E36CD6" w:rsidRDefault="00677C5F" w:rsidP="00747AAD">
            <w:pPr>
              <w:jc w:val="both"/>
            </w:pPr>
          </w:p>
          <w:p w14:paraId="4DD7FB31" w14:textId="556BB88D" w:rsidR="00D432DD" w:rsidRPr="004C61D7" w:rsidRDefault="00D432DD" w:rsidP="00D432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4C61D7">
              <w:t>Passion for excellence and high standards of client care</w:t>
            </w:r>
            <w:r w:rsidR="0070384D">
              <w:t>.</w:t>
            </w:r>
          </w:p>
          <w:p w14:paraId="1CD44670" w14:textId="3134E616" w:rsidR="00D432DD" w:rsidRPr="004C61D7" w:rsidRDefault="00D432DD" w:rsidP="00D432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4C61D7">
              <w:t>Excellent communication, influencing and relationship management skills</w:t>
            </w:r>
            <w:r w:rsidR="0070384D">
              <w:t>.</w:t>
            </w:r>
          </w:p>
          <w:p w14:paraId="41C3BBB2" w14:textId="1772FBDC" w:rsidR="00D432DD" w:rsidRPr="004C61D7" w:rsidRDefault="00D432DD" w:rsidP="00D432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4C61D7">
              <w:t xml:space="preserve">Excellent </w:t>
            </w:r>
            <w:r>
              <w:t>record keeping and written</w:t>
            </w:r>
            <w:r w:rsidRPr="004C61D7">
              <w:t xml:space="preserve"> skills</w:t>
            </w:r>
            <w:r w:rsidR="0070384D">
              <w:t>.</w:t>
            </w:r>
            <w:r w:rsidRPr="004C61D7">
              <w:t xml:space="preserve"> </w:t>
            </w:r>
          </w:p>
          <w:p w14:paraId="159C9E49" w14:textId="510A6935" w:rsidR="00D432DD" w:rsidRPr="004C61D7" w:rsidRDefault="00D432DD" w:rsidP="00D432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>
              <w:t>Ability to conduct one-to-one assessments</w:t>
            </w:r>
            <w:r w:rsidRPr="004C61D7">
              <w:t xml:space="preserve"> and deliver </w:t>
            </w:r>
            <w:r>
              <w:t>required services or signpost to alternative services</w:t>
            </w:r>
            <w:r w:rsidR="0070384D">
              <w:t>.</w:t>
            </w:r>
          </w:p>
          <w:p w14:paraId="64C74C3D" w14:textId="15A0B347" w:rsidR="00D432DD" w:rsidRPr="00D432DD" w:rsidRDefault="00D432DD" w:rsidP="00D432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4C61D7">
              <w:t>Proven ability to manage a challenging workload and support future Occupational Health Plans</w:t>
            </w:r>
            <w:r w:rsidR="0070384D">
              <w:t>.</w:t>
            </w:r>
          </w:p>
          <w:p w14:paraId="2F8B0A32" w14:textId="1089E847" w:rsidR="00D432DD" w:rsidRDefault="00D432DD" w:rsidP="00D432D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electronic systems</w:t>
            </w:r>
            <w:r w:rsidR="0070384D">
              <w:rPr>
                <w:color w:val="000000" w:themeColor="text1"/>
              </w:rPr>
              <w:t>.</w:t>
            </w:r>
          </w:p>
          <w:p w14:paraId="66510591" w14:textId="77777777" w:rsidR="00677C5F" w:rsidRPr="00120B35" w:rsidRDefault="00D432DD" w:rsidP="00D432DD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color w:val="17365D" w:themeColor="text2" w:themeShade="BF"/>
              </w:rPr>
            </w:pPr>
            <w:r>
              <w:rPr>
                <w:color w:val="000000" w:themeColor="text1"/>
              </w:rPr>
              <w:t>Continuous improvement mind-set by continually seeking improvements to policy, guidance and process to improve the customer journey.</w:t>
            </w:r>
          </w:p>
          <w:p w14:paraId="4D4F7DA4" w14:textId="61D2388B" w:rsidR="00120B35" w:rsidRPr="001D7D18" w:rsidRDefault="00120B35" w:rsidP="00120B35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color w:val="17365D" w:themeColor="text2" w:themeShade="BF"/>
              </w:rPr>
            </w:pPr>
            <w:r>
              <w:t>Competent in research, planning, writing and delivery of psychoeducation in individual or group settings.</w:t>
            </w:r>
          </w:p>
          <w:p w14:paraId="7D93E0FB" w14:textId="77777777" w:rsidR="00120B35" w:rsidRDefault="00120B35" w:rsidP="00120B35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Ability to work effectively within a team,</w:t>
            </w:r>
            <w:r w:rsidRPr="00CC0E10">
              <w:t xml:space="preserve"> supporting colleagues via peer supervision and assisting with </w:t>
            </w:r>
            <w:r>
              <w:t xml:space="preserve">clinical </w:t>
            </w:r>
            <w:r w:rsidRPr="00CC0E10">
              <w:t>caseload</w:t>
            </w:r>
            <w:r>
              <w:t>s as required</w:t>
            </w:r>
            <w:r w:rsidRPr="00CC0E10">
              <w:t>.</w:t>
            </w:r>
          </w:p>
          <w:p w14:paraId="7DE1E512" w14:textId="6A47BF64" w:rsidR="00120B35" w:rsidRPr="00677C5F" w:rsidRDefault="00120B35" w:rsidP="00120B35">
            <w:pPr>
              <w:pStyle w:val="ListParagraph"/>
              <w:rPr>
                <w:rFonts w:eastAsia="Times New Roman" w:cs="Arial"/>
                <w:color w:val="17365D" w:themeColor="text2" w:themeShade="BF"/>
              </w:rPr>
            </w:pPr>
          </w:p>
        </w:tc>
        <w:tc>
          <w:tcPr>
            <w:tcW w:w="410" w:type="dxa"/>
            <w:vMerge w:val="restart"/>
          </w:tcPr>
          <w:p w14:paraId="5E1DDCD9" w14:textId="77777777" w:rsidR="00677C5F" w:rsidRDefault="00677C5F" w:rsidP="00747AAD">
            <w:pPr>
              <w:jc w:val="both"/>
            </w:pPr>
          </w:p>
        </w:tc>
        <w:tc>
          <w:tcPr>
            <w:tcW w:w="8080" w:type="dxa"/>
          </w:tcPr>
          <w:p w14:paraId="3AAE4DAB" w14:textId="77777777" w:rsidR="00677C5F" w:rsidRDefault="00677C5F" w:rsidP="00747AAD">
            <w:pPr>
              <w:jc w:val="both"/>
              <w:rPr>
                <w:i/>
              </w:rPr>
            </w:pPr>
          </w:p>
          <w:p w14:paraId="7BD6D001" w14:textId="77777777" w:rsidR="00B04F41" w:rsidRPr="00B04F41" w:rsidRDefault="006424C0" w:rsidP="00D432D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 xml:space="preserve">Must have a </w:t>
            </w:r>
            <w:r w:rsidR="00B52AD4" w:rsidRPr="00B04F41">
              <w:rPr>
                <w:color w:val="000000" w:themeColor="text1"/>
              </w:rPr>
              <w:t>Diploma/degree/postgrad</w:t>
            </w:r>
            <w:r w:rsidR="006D517E" w:rsidRPr="00B04F41">
              <w:rPr>
                <w:color w:val="000000" w:themeColor="text1"/>
              </w:rPr>
              <w:t>uate qualification</w:t>
            </w:r>
            <w:r w:rsidR="00B04F41" w:rsidRPr="00B04F41">
              <w:rPr>
                <w:color w:val="000000" w:themeColor="text1"/>
              </w:rPr>
              <w:t xml:space="preserve"> in</w:t>
            </w:r>
            <w:r w:rsidR="00B52AD4" w:rsidRPr="00B04F41">
              <w:rPr>
                <w:color w:val="000000" w:themeColor="text1"/>
              </w:rPr>
              <w:t xml:space="preserve"> </w:t>
            </w:r>
            <w:r w:rsidR="00B04F41" w:rsidRPr="00B04F41">
              <w:rPr>
                <w:color w:val="000000" w:themeColor="text1"/>
              </w:rPr>
              <w:t>clinical counselling therapy</w:t>
            </w:r>
            <w:r w:rsidR="00B04F41" w:rsidRPr="00B04F41">
              <w:rPr>
                <w:color w:val="000000" w:themeColor="text1"/>
              </w:rPr>
              <w:t>.</w:t>
            </w:r>
          </w:p>
          <w:p w14:paraId="5CAC9F4B" w14:textId="1239B4CB" w:rsidR="00677C5F" w:rsidRPr="00B04F41" w:rsidRDefault="00B04F41" w:rsidP="00B04F41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>Have attained BACP accreditation (or be eligible for this) with at least 3 years relevant post qualifying counselling experience, preferably in a Police Occupational Health w</w:t>
            </w:r>
            <w:r w:rsidRPr="00B04F41">
              <w:rPr>
                <w:color w:val="000000" w:themeColor="text1"/>
              </w:rPr>
              <w:t>orkplace setting</w:t>
            </w:r>
            <w:r w:rsidR="006424C0" w:rsidRPr="00B04F41">
              <w:rPr>
                <w:color w:val="000000" w:themeColor="text1"/>
              </w:rPr>
              <w:t>.</w:t>
            </w:r>
          </w:p>
          <w:p w14:paraId="446BCDA7" w14:textId="77777777" w:rsidR="00B04F41" w:rsidRPr="00B04F41" w:rsidRDefault="006424C0" w:rsidP="00B04F41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>Qualified and experienced in</w:t>
            </w:r>
            <w:r w:rsidR="00120B35" w:rsidRPr="00B04F41">
              <w:rPr>
                <w:color w:val="000000" w:themeColor="text1"/>
              </w:rPr>
              <w:t xml:space="preserve"> at least two other modalities such as</w:t>
            </w:r>
            <w:r w:rsidRPr="00B04F41">
              <w:rPr>
                <w:color w:val="000000" w:themeColor="text1"/>
              </w:rPr>
              <w:t xml:space="preserve"> </w:t>
            </w:r>
            <w:r w:rsidR="00B04F41" w:rsidRPr="00B04F41">
              <w:rPr>
                <w:color w:val="000000" w:themeColor="text1"/>
              </w:rPr>
              <w:t>trauma focussed therapy, TF-Cognitive Behavioural Therapy, or EMDR.</w:t>
            </w:r>
          </w:p>
          <w:p w14:paraId="58E3449D" w14:textId="21CC1E51" w:rsidR="00B04F41" w:rsidRPr="00B04F41" w:rsidRDefault="00B04F41" w:rsidP="00B04F41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>Experience with assessing psychological risk</w:t>
            </w:r>
          </w:p>
          <w:p w14:paraId="315EE593" w14:textId="364DA595" w:rsidR="00B52AD4" w:rsidRPr="00B04F41" w:rsidRDefault="00B52AD4" w:rsidP="00D432D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>Experience</w:t>
            </w:r>
            <w:r w:rsidR="00B04F41" w:rsidRPr="00B04F41">
              <w:rPr>
                <w:color w:val="000000" w:themeColor="text1"/>
              </w:rPr>
              <w:t xml:space="preserve"> with Psychological Health Surveillance</w:t>
            </w:r>
            <w:r w:rsidRPr="00B04F41">
              <w:rPr>
                <w:color w:val="000000" w:themeColor="text1"/>
              </w:rPr>
              <w:t xml:space="preserve"> is desirable.</w:t>
            </w:r>
          </w:p>
          <w:p w14:paraId="6EF829F3" w14:textId="3F05FDC7" w:rsidR="00B04F41" w:rsidRPr="00B04F41" w:rsidRDefault="00B04F41" w:rsidP="00D432D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04F41">
              <w:rPr>
                <w:color w:val="000000" w:themeColor="text1"/>
              </w:rPr>
              <w:t xml:space="preserve">Training, coaching and mentoring qualifications </w:t>
            </w:r>
            <w:r w:rsidRPr="00B04F41">
              <w:rPr>
                <w:color w:val="000000" w:themeColor="text1"/>
              </w:rPr>
              <w:t xml:space="preserve">is </w:t>
            </w:r>
            <w:r w:rsidRPr="00B04F41">
              <w:rPr>
                <w:color w:val="000000" w:themeColor="text1"/>
              </w:rPr>
              <w:t>desirable</w:t>
            </w:r>
          </w:p>
          <w:p w14:paraId="1A2AEB5A" w14:textId="0764D213" w:rsidR="0046091C" w:rsidRPr="00D432DD" w:rsidRDefault="00120B35" w:rsidP="00D432D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0C4598">
              <w:rPr>
                <w:color w:val="000000" w:themeColor="text1"/>
              </w:rPr>
              <w:t>xperienced in m</w:t>
            </w:r>
            <w:r w:rsidR="0046091C" w:rsidRPr="00D432DD">
              <w:rPr>
                <w:color w:val="000000" w:themeColor="text1"/>
              </w:rPr>
              <w:t>anaging own case load, keeping accurate</w:t>
            </w:r>
            <w:r w:rsidR="00F4765D" w:rsidRPr="00D432DD">
              <w:rPr>
                <w:color w:val="000000" w:themeColor="text1"/>
              </w:rPr>
              <w:t xml:space="preserve"> comprehensive</w:t>
            </w:r>
            <w:r w:rsidR="0046091C" w:rsidRPr="00D432DD">
              <w:rPr>
                <w:color w:val="000000" w:themeColor="text1"/>
              </w:rPr>
              <w:t xml:space="preserve"> records, assessment interviews, maintenance of waiting list, allocation of appointments and signposting to external services as appropriate.</w:t>
            </w:r>
          </w:p>
          <w:p w14:paraId="73CF1316" w14:textId="1346B1CD" w:rsidR="00120B35" w:rsidRDefault="00120B35" w:rsidP="00120B35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color w:val="17365D" w:themeColor="text2" w:themeShade="BF"/>
              </w:rPr>
            </w:pPr>
            <w:r w:rsidRPr="00A52BB2">
              <w:rPr>
                <w:color w:val="000000" w:themeColor="text1"/>
              </w:rPr>
              <w:t xml:space="preserve">Experience of working in specific </w:t>
            </w:r>
            <w:r>
              <w:rPr>
                <w:color w:val="000000" w:themeColor="text1"/>
              </w:rPr>
              <w:t xml:space="preserve">areas of </w:t>
            </w:r>
            <w:r w:rsidR="00B04F41">
              <w:rPr>
                <w:color w:val="000000" w:themeColor="text1"/>
              </w:rPr>
              <w:t>therapy</w:t>
            </w:r>
            <w:r>
              <w:rPr>
                <w:color w:val="000000" w:themeColor="text1"/>
              </w:rPr>
              <w:t xml:space="preserve"> including</w:t>
            </w:r>
            <w:r>
              <w:t xml:space="preserve"> risk assessment, safeguarding, trauma</w:t>
            </w:r>
            <w:r w:rsidRPr="000D7191">
              <w:t xml:space="preserve">, </w:t>
            </w:r>
            <w:r>
              <w:t>work related stress</w:t>
            </w:r>
            <w:r w:rsidRPr="000D7191">
              <w:t>, depression, anxiety, ill h</w:t>
            </w:r>
            <w:r>
              <w:t xml:space="preserve">ealth, bereavement and </w:t>
            </w:r>
            <w:r w:rsidRPr="000D7191">
              <w:t>psychological resilience strategies</w:t>
            </w:r>
          </w:p>
          <w:p w14:paraId="7913C4A1" w14:textId="77777777" w:rsidR="00677C5F" w:rsidRDefault="00677C5F" w:rsidP="00747AAD">
            <w:pPr>
              <w:jc w:val="both"/>
              <w:rPr>
                <w:rFonts w:eastAsia="Times New Roman" w:cs="Arial"/>
                <w:color w:val="17365D" w:themeColor="text2" w:themeShade="BF"/>
              </w:rPr>
            </w:pPr>
          </w:p>
          <w:p w14:paraId="6567DC7B" w14:textId="77777777" w:rsidR="00677C5F" w:rsidRDefault="00677C5F" w:rsidP="00747AAD">
            <w:pPr>
              <w:jc w:val="both"/>
            </w:pPr>
          </w:p>
        </w:tc>
      </w:tr>
      <w:tr w:rsidR="00677C5F" w14:paraId="330984F9" w14:textId="77777777" w:rsidTr="00B1657A">
        <w:trPr>
          <w:trHeight w:hRule="exact" w:val="567"/>
        </w:trPr>
        <w:tc>
          <w:tcPr>
            <w:tcW w:w="7245" w:type="dxa"/>
            <w:vMerge/>
          </w:tcPr>
          <w:p w14:paraId="52A20BDF" w14:textId="7AF6BDAE" w:rsidR="00677C5F" w:rsidRPr="00E36CD6" w:rsidRDefault="00677C5F" w:rsidP="00747AAD">
            <w:pPr>
              <w:jc w:val="both"/>
            </w:pPr>
          </w:p>
        </w:tc>
        <w:tc>
          <w:tcPr>
            <w:tcW w:w="410" w:type="dxa"/>
            <w:vMerge/>
          </w:tcPr>
          <w:p w14:paraId="2DAE5875" w14:textId="77777777" w:rsidR="00677C5F" w:rsidRDefault="00677C5F" w:rsidP="00747AAD">
            <w:pPr>
              <w:jc w:val="both"/>
            </w:pPr>
          </w:p>
        </w:tc>
        <w:tc>
          <w:tcPr>
            <w:tcW w:w="8080" w:type="dxa"/>
            <w:shd w:val="clear" w:color="auto" w:fill="17365D" w:themeFill="text2" w:themeFillShade="BF"/>
          </w:tcPr>
          <w:p w14:paraId="1484504E" w14:textId="4548AACF" w:rsidR="00677C5F" w:rsidRPr="00677C5F" w:rsidRDefault="00677C5F" w:rsidP="00747AAD">
            <w:pPr>
              <w:jc w:val="both"/>
              <w:rPr>
                <w:b/>
                <w:sz w:val="28"/>
                <w:szCs w:val="28"/>
              </w:rPr>
            </w:pPr>
            <w:r w:rsidRPr="00677C5F">
              <w:rPr>
                <w:b/>
                <w:color w:val="FFFFFF" w:themeColor="background1"/>
                <w:sz w:val="28"/>
                <w:szCs w:val="28"/>
              </w:rPr>
              <w:t>Our Competencies</w:t>
            </w:r>
          </w:p>
        </w:tc>
      </w:tr>
      <w:tr w:rsidR="00677C5F" w14:paraId="29E80EC6" w14:textId="77777777" w:rsidTr="00B1657A">
        <w:tc>
          <w:tcPr>
            <w:tcW w:w="7245" w:type="dxa"/>
            <w:vMerge/>
            <w:shd w:val="clear" w:color="auto" w:fill="auto"/>
          </w:tcPr>
          <w:p w14:paraId="38879D4B" w14:textId="77777777" w:rsidR="00677C5F" w:rsidRPr="00E36CD6" w:rsidRDefault="00677C5F" w:rsidP="00747AAD">
            <w:pPr>
              <w:jc w:val="both"/>
            </w:pPr>
          </w:p>
        </w:tc>
        <w:tc>
          <w:tcPr>
            <w:tcW w:w="410" w:type="dxa"/>
            <w:vMerge/>
            <w:shd w:val="clear" w:color="auto" w:fill="auto"/>
          </w:tcPr>
          <w:p w14:paraId="45AA1E49" w14:textId="77777777" w:rsidR="00677C5F" w:rsidRDefault="00677C5F" w:rsidP="00747AAD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C3F336F" w14:textId="0B2B4666" w:rsidR="00677C5F" w:rsidRPr="00677C5F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The </w:t>
            </w:r>
            <w:r w:rsidRPr="00E36CD6">
              <w:rPr>
                <w:rFonts w:eastAsia="Arial"/>
              </w:rPr>
              <w:t xml:space="preserve">Competency and Values Framework (CVF) has 6 competencies that are clustered into three groups. This role should be operating, or working towards, the </w:t>
            </w:r>
            <w:r w:rsidRPr="00677C5F">
              <w:rPr>
                <w:rFonts w:eastAsia="Arial"/>
              </w:rPr>
              <w:t>following levels</w:t>
            </w:r>
          </w:p>
          <w:p w14:paraId="69012DB8" w14:textId="77777777" w:rsidR="00677C5F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  <w:color w:val="1F3864"/>
              </w:rPr>
            </w:pPr>
          </w:p>
          <w:p w14:paraId="57A71CF2" w14:textId="2FA506C3" w:rsidR="00677C5F" w:rsidRPr="00E36CD6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  <w:color w:val="1F3864"/>
              </w:rPr>
            </w:pPr>
            <w:r w:rsidRPr="00E36CD6">
              <w:rPr>
                <w:rFonts w:eastAsia="Arial"/>
                <w:b/>
                <w:color w:val="1F3864"/>
              </w:rPr>
              <w:t>Resolute, compassionate and committed</w:t>
            </w:r>
            <w:r>
              <w:rPr>
                <w:rFonts w:eastAsia="Arial"/>
                <w:b/>
                <w:color w:val="1F3864"/>
              </w:rPr>
              <w:t xml:space="preserve"> </w:t>
            </w:r>
          </w:p>
          <w:tbl>
            <w:tblPr>
              <w:tblW w:w="78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0"/>
              <w:gridCol w:w="284"/>
            </w:tblGrid>
            <w:tr w:rsidR="00677C5F" w:rsidRPr="00E36CD6" w14:paraId="12BFAB58" w14:textId="77777777" w:rsidTr="00E93BAA">
              <w:trPr>
                <w:trHeight w:val="253"/>
              </w:trPr>
              <w:tc>
                <w:tcPr>
                  <w:tcW w:w="7580" w:type="dxa"/>
                  <w:shd w:val="clear" w:color="auto" w:fill="auto"/>
                  <w:vAlign w:val="bottom"/>
                </w:tcPr>
                <w:p w14:paraId="410E6567" w14:textId="61515187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Emotionally Aware</w:t>
                  </w:r>
                  <w:r>
                    <w:rPr>
                      <w:rFonts w:cs="Arial"/>
                    </w:rPr>
                    <w:t xml:space="preserve"> -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  <w:p w14:paraId="6054F310" w14:textId="07B18389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Takes Ownership</w:t>
                  </w:r>
                  <w:r>
                    <w:rPr>
                      <w:rFonts w:cs="Arial"/>
                    </w:rPr>
                    <w:t xml:space="preserve"> -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  <w:p w14:paraId="35FD9411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14:paraId="5C260F30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E36CD6">
                    <w:rPr>
                      <w:rFonts w:eastAsia="Arial"/>
                      <w:b/>
                      <w:color w:val="1F3864"/>
                    </w:rPr>
                    <w:t>Inclusive, enabling and visionary Leadership</w:t>
                  </w:r>
                </w:p>
                <w:p w14:paraId="3B219B6D" w14:textId="400FC9EE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Works Collaboratively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  <w:p w14:paraId="13546929" w14:textId="38C27AEA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Delivers, supports and Inspires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  <w:p w14:paraId="28530517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14:paraId="13F709DE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E36CD6">
                    <w:rPr>
                      <w:rFonts w:eastAsia="Arial"/>
                      <w:b/>
                      <w:color w:val="1F3864"/>
                    </w:rPr>
                    <w:t>Intelligent, creative and informed policing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07423A35" w14:textId="77777777" w:rsidR="00677C5F" w:rsidRPr="00E36CD6" w:rsidRDefault="00677C5F" w:rsidP="00677C5F">
                  <w:pPr>
                    <w:spacing w:line="0" w:lineRule="atLeast"/>
                    <w:jc w:val="both"/>
                    <w:rPr>
                      <w:rFonts w:eastAsia="Arial"/>
                      <w:color w:val="1F3864"/>
                    </w:rPr>
                  </w:pPr>
                </w:p>
              </w:tc>
            </w:tr>
            <w:tr w:rsidR="00677C5F" w:rsidRPr="00E36CD6" w14:paraId="5EBDDA47" w14:textId="77777777" w:rsidTr="00E93BAA">
              <w:trPr>
                <w:trHeight w:val="240"/>
              </w:trPr>
              <w:tc>
                <w:tcPr>
                  <w:tcW w:w="7580" w:type="dxa"/>
                  <w:shd w:val="clear" w:color="auto" w:fill="auto"/>
                  <w:vAlign w:val="bottom"/>
                </w:tcPr>
                <w:p w14:paraId="5E1D0943" w14:textId="17F2397A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Analyses Critically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  <w:p w14:paraId="1AF93552" w14:textId="4293C853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eastAsia="Arial"/>
                      <w:color w:val="1F3864"/>
                    </w:rPr>
                  </w:pPr>
                  <w:r w:rsidRPr="00AC0E35">
                    <w:rPr>
                      <w:rFonts w:cs="Arial"/>
                    </w:rPr>
                    <w:t>Innovative and open-minded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E1EC5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657F466E" w14:textId="77777777" w:rsidR="00677C5F" w:rsidRPr="00E36CD6" w:rsidRDefault="00677C5F" w:rsidP="00677C5F">
                  <w:pPr>
                    <w:spacing w:line="240" w:lineRule="exact"/>
                    <w:jc w:val="both"/>
                    <w:rPr>
                      <w:rFonts w:eastAsia="Arial"/>
                      <w:color w:val="1F3864"/>
                    </w:rPr>
                  </w:pPr>
                </w:p>
              </w:tc>
            </w:tr>
          </w:tbl>
          <w:p w14:paraId="2A58C0C5" w14:textId="4B89BF3D" w:rsidR="00677C5F" w:rsidRPr="00677C5F" w:rsidRDefault="00677C5F" w:rsidP="00747AAD">
            <w:pPr>
              <w:jc w:val="both"/>
              <w:rPr>
                <w:sz w:val="28"/>
                <w:szCs w:val="28"/>
              </w:rPr>
            </w:pPr>
          </w:p>
        </w:tc>
      </w:tr>
    </w:tbl>
    <w:p w14:paraId="0D9842A7" w14:textId="77777777" w:rsidR="00AA667D" w:rsidRDefault="00AA667D" w:rsidP="00677C5F"/>
    <w:sectPr w:rsidR="00AA667D" w:rsidSect="00262045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0287" w14:textId="77777777" w:rsidR="00020D54" w:rsidRDefault="00020D54" w:rsidP="002A09DF">
      <w:pPr>
        <w:spacing w:after="0" w:line="240" w:lineRule="auto"/>
      </w:pPr>
      <w:r>
        <w:separator/>
      </w:r>
    </w:p>
  </w:endnote>
  <w:endnote w:type="continuationSeparator" w:id="0">
    <w:p w14:paraId="34F0D2C5" w14:textId="77777777" w:rsidR="00020D54" w:rsidRDefault="00020D54" w:rsidP="002A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BC00" w14:textId="77777777" w:rsidR="00020D54" w:rsidRDefault="00020D54" w:rsidP="002A09DF">
      <w:pPr>
        <w:spacing w:after="0" w:line="240" w:lineRule="auto"/>
      </w:pPr>
      <w:r>
        <w:separator/>
      </w:r>
    </w:p>
  </w:footnote>
  <w:footnote w:type="continuationSeparator" w:id="0">
    <w:p w14:paraId="7A919590" w14:textId="77777777" w:rsidR="00020D54" w:rsidRDefault="00020D54" w:rsidP="002A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06F"/>
    <w:multiLevelType w:val="multilevel"/>
    <w:tmpl w:val="CCA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4950"/>
    <w:multiLevelType w:val="multilevel"/>
    <w:tmpl w:val="86E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F7AD4"/>
    <w:multiLevelType w:val="hybridMultilevel"/>
    <w:tmpl w:val="D052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0286"/>
    <w:multiLevelType w:val="hybridMultilevel"/>
    <w:tmpl w:val="688ADC2C"/>
    <w:lvl w:ilvl="0" w:tplc="0C741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4A4"/>
    <w:multiLevelType w:val="hybridMultilevel"/>
    <w:tmpl w:val="23C4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4B0"/>
    <w:multiLevelType w:val="hybridMultilevel"/>
    <w:tmpl w:val="F78A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77AB0"/>
    <w:multiLevelType w:val="multilevel"/>
    <w:tmpl w:val="FEA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31AAC"/>
    <w:multiLevelType w:val="multilevel"/>
    <w:tmpl w:val="DFB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473ECD"/>
    <w:multiLevelType w:val="hybridMultilevel"/>
    <w:tmpl w:val="820A50C8"/>
    <w:lvl w:ilvl="0" w:tplc="9F00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4AC1"/>
    <w:multiLevelType w:val="hybridMultilevel"/>
    <w:tmpl w:val="01EC2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57E8B"/>
    <w:multiLevelType w:val="hybridMultilevel"/>
    <w:tmpl w:val="B8761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603F"/>
    <w:multiLevelType w:val="hybridMultilevel"/>
    <w:tmpl w:val="DC1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83DD2"/>
    <w:multiLevelType w:val="hybridMultilevel"/>
    <w:tmpl w:val="B3F4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12E25"/>
    <w:multiLevelType w:val="multilevel"/>
    <w:tmpl w:val="134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C1B32"/>
    <w:multiLevelType w:val="hybridMultilevel"/>
    <w:tmpl w:val="93A4A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239B6"/>
    <w:multiLevelType w:val="hybridMultilevel"/>
    <w:tmpl w:val="98A8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82376"/>
    <w:multiLevelType w:val="multilevel"/>
    <w:tmpl w:val="264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B01E0"/>
    <w:multiLevelType w:val="multilevel"/>
    <w:tmpl w:val="59A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E4693"/>
    <w:multiLevelType w:val="multilevel"/>
    <w:tmpl w:val="86E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C7528"/>
    <w:multiLevelType w:val="multilevel"/>
    <w:tmpl w:val="995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13D36"/>
    <w:multiLevelType w:val="multilevel"/>
    <w:tmpl w:val="0FC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C70E0"/>
    <w:multiLevelType w:val="hybridMultilevel"/>
    <w:tmpl w:val="24DA4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DB3E8B"/>
    <w:multiLevelType w:val="multilevel"/>
    <w:tmpl w:val="27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D2B9D"/>
    <w:multiLevelType w:val="multilevel"/>
    <w:tmpl w:val="B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74AE7"/>
    <w:multiLevelType w:val="hybridMultilevel"/>
    <w:tmpl w:val="7C22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1D5"/>
    <w:multiLevelType w:val="hybridMultilevel"/>
    <w:tmpl w:val="908CEEF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6" w15:restartNumberingAfterBreak="0">
    <w:nsid w:val="5E31421B"/>
    <w:multiLevelType w:val="hybridMultilevel"/>
    <w:tmpl w:val="D90C3FD2"/>
    <w:lvl w:ilvl="0" w:tplc="E9FE6EA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1A84"/>
    <w:multiLevelType w:val="hybridMultilevel"/>
    <w:tmpl w:val="F4CE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25A3"/>
    <w:multiLevelType w:val="multilevel"/>
    <w:tmpl w:val="528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5148F"/>
    <w:multiLevelType w:val="multilevel"/>
    <w:tmpl w:val="C92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40663"/>
    <w:multiLevelType w:val="multilevel"/>
    <w:tmpl w:val="47D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979F2"/>
    <w:multiLevelType w:val="hybridMultilevel"/>
    <w:tmpl w:val="93E2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C7CBE"/>
    <w:multiLevelType w:val="multilevel"/>
    <w:tmpl w:val="964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1"/>
  </w:num>
  <w:num w:numId="5">
    <w:abstractNumId w:val="14"/>
  </w:num>
  <w:num w:numId="6">
    <w:abstractNumId w:val="8"/>
  </w:num>
  <w:num w:numId="7">
    <w:abstractNumId w:val="27"/>
  </w:num>
  <w:num w:numId="8">
    <w:abstractNumId w:val="24"/>
  </w:num>
  <w:num w:numId="9">
    <w:abstractNumId w:val="10"/>
  </w:num>
  <w:num w:numId="10">
    <w:abstractNumId w:val="25"/>
  </w:num>
  <w:num w:numId="11">
    <w:abstractNumId w:val="32"/>
  </w:num>
  <w:num w:numId="12">
    <w:abstractNumId w:val="0"/>
  </w:num>
  <w:num w:numId="13">
    <w:abstractNumId w:val="20"/>
  </w:num>
  <w:num w:numId="14">
    <w:abstractNumId w:val="30"/>
  </w:num>
  <w:num w:numId="15">
    <w:abstractNumId w:val="17"/>
  </w:num>
  <w:num w:numId="16">
    <w:abstractNumId w:val="13"/>
  </w:num>
  <w:num w:numId="17">
    <w:abstractNumId w:val="16"/>
  </w:num>
  <w:num w:numId="18">
    <w:abstractNumId w:val="22"/>
  </w:num>
  <w:num w:numId="19">
    <w:abstractNumId w:val="18"/>
  </w:num>
  <w:num w:numId="20">
    <w:abstractNumId w:val="29"/>
  </w:num>
  <w:num w:numId="21">
    <w:abstractNumId w:val="6"/>
  </w:num>
  <w:num w:numId="22">
    <w:abstractNumId w:val="19"/>
  </w:num>
  <w:num w:numId="23">
    <w:abstractNumId w:val="23"/>
  </w:num>
  <w:num w:numId="24">
    <w:abstractNumId w:val="28"/>
  </w:num>
  <w:num w:numId="25">
    <w:abstractNumId w:val="1"/>
  </w:num>
  <w:num w:numId="26">
    <w:abstractNumId w:val="7"/>
  </w:num>
  <w:num w:numId="27">
    <w:abstractNumId w:val="21"/>
  </w:num>
  <w:num w:numId="28">
    <w:abstractNumId w:val="12"/>
  </w:num>
  <w:num w:numId="29">
    <w:abstractNumId w:val="4"/>
  </w:num>
  <w:num w:numId="30">
    <w:abstractNumId w:val="2"/>
  </w:num>
  <w:num w:numId="31">
    <w:abstractNumId w:val="2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5"/>
    <w:rsid w:val="00000E88"/>
    <w:rsid w:val="00006EF5"/>
    <w:rsid w:val="00017196"/>
    <w:rsid w:val="00020D54"/>
    <w:rsid w:val="00060818"/>
    <w:rsid w:val="00070BC7"/>
    <w:rsid w:val="00072006"/>
    <w:rsid w:val="000C29B6"/>
    <w:rsid w:val="000C4598"/>
    <w:rsid w:val="000D7191"/>
    <w:rsid w:val="000F62E6"/>
    <w:rsid w:val="00120B35"/>
    <w:rsid w:val="0013667B"/>
    <w:rsid w:val="0016397C"/>
    <w:rsid w:val="001844ED"/>
    <w:rsid w:val="001A1C05"/>
    <w:rsid w:val="001C5D1D"/>
    <w:rsid w:val="002013C5"/>
    <w:rsid w:val="00207211"/>
    <w:rsid w:val="002132E0"/>
    <w:rsid w:val="00214D77"/>
    <w:rsid w:val="00226D4E"/>
    <w:rsid w:val="00231176"/>
    <w:rsid w:val="00241163"/>
    <w:rsid w:val="0026049E"/>
    <w:rsid w:val="00262045"/>
    <w:rsid w:val="002A09DF"/>
    <w:rsid w:val="002B6D40"/>
    <w:rsid w:val="002F7E83"/>
    <w:rsid w:val="00324140"/>
    <w:rsid w:val="00330751"/>
    <w:rsid w:val="00332EAD"/>
    <w:rsid w:val="00360D34"/>
    <w:rsid w:val="00372A22"/>
    <w:rsid w:val="0038525D"/>
    <w:rsid w:val="003E6065"/>
    <w:rsid w:val="003F0E7E"/>
    <w:rsid w:val="003F6EAF"/>
    <w:rsid w:val="003F78B0"/>
    <w:rsid w:val="004018CF"/>
    <w:rsid w:val="00443F76"/>
    <w:rsid w:val="00450080"/>
    <w:rsid w:val="0046091C"/>
    <w:rsid w:val="00472266"/>
    <w:rsid w:val="00476C1B"/>
    <w:rsid w:val="0047748A"/>
    <w:rsid w:val="00477AA0"/>
    <w:rsid w:val="0049095D"/>
    <w:rsid w:val="0049438F"/>
    <w:rsid w:val="004A731F"/>
    <w:rsid w:val="004D229E"/>
    <w:rsid w:val="004E442F"/>
    <w:rsid w:val="004F1753"/>
    <w:rsid w:val="00520CBE"/>
    <w:rsid w:val="005460AC"/>
    <w:rsid w:val="0054663C"/>
    <w:rsid w:val="00553BC6"/>
    <w:rsid w:val="00564966"/>
    <w:rsid w:val="005E0E2C"/>
    <w:rsid w:val="005E52B3"/>
    <w:rsid w:val="005E7523"/>
    <w:rsid w:val="005F37A8"/>
    <w:rsid w:val="006424C0"/>
    <w:rsid w:val="00643271"/>
    <w:rsid w:val="00657C4E"/>
    <w:rsid w:val="00667799"/>
    <w:rsid w:val="00675656"/>
    <w:rsid w:val="00677C5F"/>
    <w:rsid w:val="0068369F"/>
    <w:rsid w:val="00686206"/>
    <w:rsid w:val="00697CEE"/>
    <w:rsid w:val="006A63CB"/>
    <w:rsid w:val="006D517E"/>
    <w:rsid w:val="006F0B86"/>
    <w:rsid w:val="006F7C15"/>
    <w:rsid w:val="00703283"/>
    <w:rsid w:val="0070384D"/>
    <w:rsid w:val="00746169"/>
    <w:rsid w:val="00747AAD"/>
    <w:rsid w:val="007D34F0"/>
    <w:rsid w:val="008032F6"/>
    <w:rsid w:val="00821546"/>
    <w:rsid w:val="00833D1E"/>
    <w:rsid w:val="00882D9A"/>
    <w:rsid w:val="00887329"/>
    <w:rsid w:val="008B5DC1"/>
    <w:rsid w:val="008C0E91"/>
    <w:rsid w:val="008C5B76"/>
    <w:rsid w:val="008C5F75"/>
    <w:rsid w:val="008C6C46"/>
    <w:rsid w:val="008E1EC5"/>
    <w:rsid w:val="008F00A6"/>
    <w:rsid w:val="00926FA9"/>
    <w:rsid w:val="00935F6B"/>
    <w:rsid w:val="00940FE7"/>
    <w:rsid w:val="00956213"/>
    <w:rsid w:val="0098195D"/>
    <w:rsid w:val="009A2C0F"/>
    <w:rsid w:val="009B6A20"/>
    <w:rsid w:val="009E603F"/>
    <w:rsid w:val="00A0043A"/>
    <w:rsid w:val="00A55649"/>
    <w:rsid w:val="00A9201F"/>
    <w:rsid w:val="00AA667D"/>
    <w:rsid w:val="00AB711E"/>
    <w:rsid w:val="00AB7265"/>
    <w:rsid w:val="00AD547D"/>
    <w:rsid w:val="00AF56C1"/>
    <w:rsid w:val="00AF5816"/>
    <w:rsid w:val="00AF7ADB"/>
    <w:rsid w:val="00B04F41"/>
    <w:rsid w:val="00B133DC"/>
    <w:rsid w:val="00B1657A"/>
    <w:rsid w:val="00B3664A"/>
    <w:rsid w:val="00B4130E"/>
    <w:rsid w:val="00B50127"/>
    <w:rsid w:val="00B521C2"/>
    <w:rsid w:val="00B52AD4"/>
    <w:rsid w:val="00B7311B"/>
    <w:rsid w:val="00B91D7E"/>
    <w:rsid w:val="00BC2CCD"/>
    <w:rsid w:val="00BC6E23"/>
    <w:rsid w:val="00BE0C88"/>
    <w:rsid w:val="00BE432B"/>
    <w:rsid w:val="00BF6933"/>
    <w:rsid w:val="00C00132"/>
    <w:rsid w:val="00C06301"/>
    <w:rsid w:val="00C13CE2"/>
    <w:rsid w:val="00C21E82"/>
    <w:rsid w:val="00C227D1"/>
    <w:rsid w:val="00C24F1C"/>
    <w:rsid w:val="00C410C9"/>
    <w:rsid w:val="00C464EE"/>
    <w:rsid w:val="00C517E5"/>
    <w:rsid w:val="00C72A94"/>
    <w:rsid w:val="00C87BAF"/>
    <w:rsid w:val="00CA3B1D"/>
    <w:rsid w:val="00CB1DF0"/>
    <w:rsid w:val="00D14DA4"/>
    <w:rsid w:val="00D14F55"/>
    <w:rsid w:val="00D20A3F"/>
    <w:rsid w:val="00D21584"/>
    <w:rsid w:val="00D3041C"/>
    <w:rsid w:val="00D432DD"/>
    <w:rsid w:val="00D64C9F"/>
    <w:rsid w:val="00D97F0B"/>
    <w:rsid w:val="00DB07A7"/>
    <w:rsid w:val="00DB4913"/>
    <w:rsid w:val="00DC74AE"/>
    <w:rsid w:val="00E020FA"/>
    <w:rsid w:val="00E17A47"/>
    <w:rsid w:val="00E20D48"/>
    <w:rsid w:val="00E27227"/>
    <w:rsid w:val="00E30141"/>
    <w:rsid w:val="00E36CD6"/>
    <w:rsid w:val="00E50EF9"/>
    <w:rsid w:val="00E71F1D"/>
    <w:rsid w:val="00E77B71"/>
    <w:rsid w:val="00EB2FE8"/>
    <w:rsid w:val="00EB5888"/>
    <w:rsid w:val="00EC1F15"/>
    <w:rsid w:val="00ED6D5D"/>
    <w:rsid w:val="00EE313C"/>
    <w:rsid w:val="00F21187"/>
    <w:rsid w:val="00F216A7"/>
    <w:rsid w:val="00F45F88"/>
    <w:rsid w:val="00F4765D"/>
    <w:rsid w:val="00F60EDD"/>
    <w:rsid w:val="00F81B64"/>
    <w:rsid w:val="00F9010E"/>
    <w:rsid w:val="00FA7A3B"/>
    <w:rsid w:val="00FB76C9"/>
    <w:rsid w:val="00FC3A1B"/>
    <w:rsid w:val="00FD4C7F"/>
    <w:rsid w:val="00FF0C4D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DE9BBF"/>
  <w15:docId w15:val="{3AE016D8-F2B1-48CA-ACAE-994A733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B366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EAF"/>
    <w:rPr>
      <w:color w:val="0000FF" w:themeColor="hyperlink"/>
      <w:u w:val="single"/>
    </w:rPr>
  </w:style>
  <w:style w:type="paragraph" w:customStyle="1" w:styleId="Default">
    <w:name w:val="Default"/>
    <w:rsid w:val="00C517E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2A90-161A-44D8-A0CA-52DB236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Trafford, Samantha</dc:creator>
  <cp:lastModifiedBy>MELISSA NICHOLSON</cp:lastModifiedBy>
  <cp:revision>4</cp:revision>
  <dcterms:created xsi:type="dcterms:W3CDTF">2022-12-07T10:04:00Z</dcterms:created>
  <dcterms:modified xsi:type="dcterms:W3CDTF">2022-12-07T10:09:00Z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Natalie.Brown@southyorks.pnn.police.uk</vt:lpwstr>
  </property>
  <property fmtid="{D5CDD505-2E9C-101B-9397-08002B2CF9AE}" pid="5" name="MSIP_Label_f529d828-a824-4b78-ab24-eaae5922aa38_SetDate">
    <vt:lpwstr>2019-10-03T06:48:02.6336894Z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