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F2" w:rsidRDefault="00A57AF2" w:rsidP="00AE2BBF">
      <w:pPr>
        <w:jc w:val="center"/>
        <w:rPr>
          <w:rFonts w:ascii="Arial" w:hAnsi="Arial" w:cs="Arial"/>
          <w:b/>
          <w:sz w:val="28"/>
          <w:szCs w:val="28"/>
        </w:rPr>
      </w:pPr>
      <w:r w:rsidRPr="00C03AF8">
        <w:rPr>
          <w:rFonts w:ascii="Arial" w:hAnsi="Arial" w:cs="Arial"/>
          <w:b/>
          <w:sz w:val="28"/>
          <w:szCs w:val="28"/>
        </w:rPr>
        <w:t>Role Profile</w:t>
      </w:r>
    </w:p>
    <w:p w:rsidR="00A57AF2" w:rsidRPr="00C03AF8" w:rsidRDefault="00A57AF2" w:rsidP="00AE2BBF">
      <w:pPr>
        <w:jc w:val="center"/>
        <w:rPr>
          <w:rFonts w:ascii="Arial" w:hAnsi="Arial" w:cs="Arial"/>
          <w:b/>
          <w:sz w:val="28"/>
          <w:szCs w:val="28"/>
        </w:rPr>
      </w:pPr>
    </w:p>
    <w:p w:rsidR="00A57AF2" w:rsidRPr="00523046" w:rsidRDefault="00A57AF2" w:rsidP="00AE2BB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5210"/>
        <w:gridCol w:w="3806"/>
      </w:tblGrid>
      <w:tr w:rsidR="00A57AF2" w:rsidRPr="00523046" w:rsidTr="0018429C">
        <w:trPr>
          <w:trHeight w:val="109"/>
        </w:trPr>
        <w:tc>
          <w:tcPr>
            <w:tcW w:w="5210" w:type="dxa"/>
            <w:shd w:val="clear" w:color="auto" w:fill="D9D9D9"/>
            <w:vAlign w:val="center"/>
          </w:tcPr>
          <w:p w:rsidR="00A57AF2" w:rsidRPr="00AB492B" w:rsidRDefault="00A57AF2" w:rsidP="00AE2BBF">
            <w:pPr>
              <w:pStyle w:val="Header"/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Role Title:</w:t>
            </w: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</w:p>
        </w:tc>
        <w:tc>
          <w:tcPr>
            <w:tcW w:w="5210" w:type="dxa"/>
            <w:shd w:val="clear" w:color="auto" w:fill="D9D9D9"/>
            <w:vAlign w:val="center"/>
          </w:tcPr>
          <w:p w:rsidR="00A57AF2" w:rsidRPr="00AB492B" w:rsidRDefault="00A57AF2" w:rsidP="00AE2BBF">
            <w:pPr>
              <w:pStyle w:val="Head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Department/</w:t>
            </w: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Team:</w:t>
            </w:r>
          </w:p>
        </w:tc>
      </w:tr>
      <w:tr w:rsidR="00A57AF2" w:rsidRPr="00523046" w:rsidTr="0018429C">
        <w:trPr>
          <w:trHeight w:val="145"/>
        </w:trPr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:rsidR="00A57AF2" w:rsidRPr="00D14B0B" w:rsidRDefault="006357A0" w:rsidP="00053AA7">
            <w:pPr>
              <w:pStyle w:val="Head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Head of </w:t>
            </w:r>
            <w:r w:rsidR="00904CEE">
              <w:rPr>
                <w:rFonts w:ascii="Arial" w:hAnsi="Arial" w:cs="Arial"/>
                <w:spacing w:val="-2"/>
                <w:sz w:val="22"/>
                <w:szCs w:val="22"/>
              </w:rPr>
              <w:t xml:space="preserve">IT Operations 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:rsidR="00A57AF2" w:rsidRPr="00AB492B" w:rsidRDefault="00904CEE" w:rsidP="00DA3A36">
            <w:pPr>
              <w:pStyle w:val="Head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Information </w:t>
            </w:r>
            <w:r w:rsidR="00DA3A36">
              <w:rPr>
                <w:rFonts w:ascii="Arial" w:hAnsi="Arial" w:cs="Arial"/>
                <w:spacing w:val="-2"/>
                <w:sz w:val="22"/>
                <w:szCs w:val="22"/>
              </w:rPr>
              <w:t>Technology</w:t>
            </w:r>
          </w:p>
        </w:tc>
      </w:tr>
      <w:tr w:rsidR="00A57AF2" w:rsidRPr="00523046" w:rsidTr="0018429C">
        <w:trPr>
          <w:trHeight w:val="18"/>
        </w:trPr>
        <w:tc>
          <w:tcPr>
            <w:tcW w:w="5210" w:type="dxa"/>
            <w:shd w:val="clear" w:color="auto" w:fill="D9D9D9"/>
            <w:vAlign w:val="center"/>
          </w:tcPr>
          <w:p w:rsidR="00A57AF2" w:rsidRPr="00AB492B" w:rsidRDefault="00A57AF2" w:rsidP="00AE2BBF">
            <w:pPr>
              <w:pStyle w:val="Header"/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Reports to (Manager’s title):     </w:t>
            </w:r>
          </w:p>
        </w:tc>
        <w:tc>
          <w:tcPr>
            <w:tcW w:w="5210" w:type="dxa"/>
            <w:shd w:val="clear" w:color="auto" w:fill="D9D9D9"/>
            <w:vAlign w:val="center"/>
          </w:tcPr>
          <w:p w:rsidR="00A57AF2" w:rsidRPr="00AB492B" w:rsidRDefault="00A57AF2" w:rsidP="00AE2BBF">
            <w:pPr>
              <w:pStyle w:val="Header"/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Location:</w:t>
            </w:r>
          </w:p>
        </w:tc>
      </w:tr>
      <w:tr w:rsidR="00A57AF2" w:rsidRPr="00523046" w:rsidTr="0018429C">
        <w:trPr>
          <w:trHeight w:val="33"/>
        </w:trPr>
        <w:tc>
          <w:tcPr>
            <w:tcW w:w="5210" w:type="dxa"/>
            <w:vAlign w:val="center"/>
          </w:tcPr>
          <w:p w:rsidR="00A57AF2" w:rsidRPr="00AB492B" w:rsidRDefault="003756E4" w:rsidP="00AE2BBF">
            <w:pPr>
              <w:pStyle w:val="Head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Head of IT</w:t>
            </w:r>
            <w:bookmarkStart w:id="0" w:name="_GoBack"/>
            <w:bookmarkEnd w:id="0"/>
          </w:p>
        </w:tc>
        <w:tc>
          <w:tcPr>
            <w:tcW w:w="5210" w:type="dxa"/>
            <w:vAlign w:val="center"/>
          </w:tcPr>
          <w:p w:rsidR="00A57AF2" w:rsidRPr="00AB492B" w:rsidRDefault="00A57AF2" w:rsidP="00AE2BBF">
            <w:pPr>
              <w:pStyle w:val="Head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South Yorkshire and Humberside</w:t>
            </w:r>
          </w:p>
        </w:tc>
      </w:tr>
      <w:tr w:rsidR="00A57AF2" w:rsidRPr="00523046" w:rsidTr="0018429C">
        <w:trPr>
          <w:trHeight w:val="69"/>
        </w:trPr>
        <w:tc>
          <w:tcPr>
            <w:tcW w:w="5210" w:type="dxa"/>
            <w:shd w:val="clear" w:color="auto" w:fill="D9D9D9"/>
            <w:vAlign w:val="center"/>
          </w:tcPr>
          <w:p w:rsidR="00A57AF2" w:rsidRPr="00AB492B" w:rsidRDefault="00A57AF2" w:rsidP="00AE2BBF">
            <w:pPr>
              <w:pStyle w:val="Head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L</w:t>
            </w: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ast update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(Date)</w:t>
            </w: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: </w:t>
            </w: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5210" w:type="dxa"/>
            <w:shd w:val="clear" w:color="auto" w:fill="D9D9D9"/>
            <w:vAlign w:val="center"/>
          </w:tcPr>
          <w:p w:rsidR="00A57AF2" w:rsidRPr="00AB492B" w:rsidRDefault="00A57AF2" w:rsidP="00AE2BBF">
            <w:pPr>
              <w:pStyle w:val="Header"/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Role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Reference No</w:t>
            </w: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:</w:t>
            </w:r>
          </w:p>
        </w:tc>
      </w:tr>
      <w:tr w:rsidR="00A57AF2" w:rsidRPr="00523046" w:rsidTr="0018429C">
        <w:trPr>
          <w:trHeight w:val="77"/>
        </w:trPr>
        <w:tc>
          <w:tcPr>
            <w:tcW w:w="5210" w:type="dxa"/>
            <w:vAlign w:val="center"/>
          </w:tcPr>
          <w:p w:rsidR="00A57AF2" w:rsidRPr="00AE2BBF" w:rsidRDefault="00081A20" w:rsidP="00AE2BBF">
            <w:pPr>
              <w:pStyle w:val="Head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E2BBF">
              <w:rPr>
                <w:rFonts w:ascii="Arial" w:hAnsi="Arial" w:cs="Arial"/>
                <w:spacing w:val="-2"/>
                <w:sz w:val="22"/>
                <w:szCs w:val="22"/>
              </w:rPr>
              <w:t>2</w:t>
            </w:r>
            <w:r w:rsidR="003756E4" w:rsidRPr="00AE2BBF">
              <w:rPr>
                <w:rFonts w:ascii="Arial" w:hAnsi="Arial" w:cs="Arial"/>
                <w:spacing w:val="-2"/>
                <w:sz w:val="22"/>
                <w:szCs w:val="22"/>
              </w:rPr>
              <w:t>4 May 2019</w:t>
            </w:r>
          </w:p>
        </w:tc>
        <w:tc>
          <w:tcPr>
            <w:tcW w:w="5210" w:type="dxa"/>
            <w:vAlign w:val="center"/>
          </w:tcPr>
          <w:p w:rsidR="00A57AF2" w:rsidRPr="00AE2BBF" w:rsidRDefault="00872320" w:rsidP="00AE2BBF">
            <w:pPr>
              <w:pStyle w:val="Head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E2BBF">
              <w:rPr>
                <w:rFonts w:ascii="Arial" w:hAnsi="Arial" w:cs="Arial"/>
                <w:spacing w:val="-2"/>
                <w:sz w:val="22"/>
                <w:szCs w:val="22"/>
              </w:rPr>
              <w:t>IS186 Executive Grade 3</w:t>
            </w:r>
          </w:p>
        </w:tc>
      </w:tr>
      <w:tr w:rsidR="00A57AF2" w:rsidRPr="00523046" w:rsidTr="0018429C">
        <w:trPr>
          <w:trHeight w:val="99"/>
        </w:trPr>
        <w:tc>
          <w:tcPr>
            <w:tcW w:w="10420" w:type="dxa"/>
            <w:gridSpan w:val="2"/>
            <w:shd w:val="clear" w:color="auto" w:fill="D9D9D9"/>
            <w:vAlign w:val="center"/>
          </w:tcPr>
          <w:p w:rsidR="00A57AF2" w:rsidRPr="00AB492B" w:rsidRDefault="00A57AF2" w:rsidP="00AE2BBF">
            <w:pPr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The purpose of the role is to:</w:t>
            </w:r>
          </w:p>
        </w:tc>
      </w:tr>
      <w:tr w:rsidR="00A57AF2" w:rsidRPr="00523046" w:rsidTr="0018429C">
        <w:trPr>
          <w:trHeight w:val="405"/>
        </w:trPr>
        <w:tc>
          <w:tcPr>
            <w:tcW w:w="10420" w:type="dxa"/>
            <w:gridSpan w:val="2"/>
            <w:vAlign w:val="center"/>
          </w:tcPr>
          <w:p w:rsidR="00A57AF2" w:rsidRPr="00DC7469" w:rsidRDefault="00B41C03" w:rsidP="00AE2B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7469">
              <w:rPr>
                <w:rFonts w:ascii="Arial" w:hAnsi="Arial" w:cs="Arial"/>
                <w:sz w:val="22"/>
                <w:szCs w:val="22"/>
              </w:rPr>
              <w:t>Be responsible for t</w:t>
            </w:r>
            <w:r w:rsidR="00E55E4F" w:rsidRPr="00DC7469">
              <w:rPr>
                <w:rFonts w:ascii="Arial" w:hAnsi="Arial" w:cs="Arial"/>
                <w:sz w:val="22"/>
                <w:szCs w:val="22"/>
              </w:rPr>
              <w:t>he effective manageme</w:t>
            </w:r>
            <w:r w:rsidRPr="00DC7469">
              <w:rPr>
                <w:rFonts w:ascii="Arial" w:hAnsi="Arial" w:cs="Arial"/>
                <w:sz w:val="22"/>
                <w:szCs w:val="22"/>
              </w:rPr>
              <w:t>nt and development of the Force’s</w:t>
            </w:r>
            <w:r w:rsidR="00E55E4F" w:rsidRPr="00DC7469">
              <w:rPr>
                <w:rFonts w:ascii="Arial" w:hAnsi="Arial" w:cs="Arial"/>
                <w:sz w:val="22"/>
                <w:szCs w:val="22"/>
              </w:rPr>
              <w:t xml:space="preserve"> telephony</w:t>
            </w:r>
            <w:r w:rsidRPr="00DC7469">
              <w:rPr>
                <w:rFonts w:ascii="Arial" w:hAnsi="Arial" w:cs="Arial"/>
                <w:sz w:val="22"/>
                <w:szCs w:val="22"/>
              </w:rPr>
              <w:t>, critical voice and mobile communications</w:t>
            </w:r>
            <w:r w:rsidR="00E55E4F" w:rsidRPr="00DC74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6E4" w:rsidRPr="00DC7469">
              <w:rPr>
                <w:rFonts w:ascii="Arial" w:hAnsi="Arial" w:cs="Arial"/>
                <w:sz w:val="22"/>
                <w:szCs w:val="22"/>
              </w:rPr>
              <w:t>systems, networks</w:t>
            </w:r>
            <w:r w:rsidR="00E55E4F" w:rsidRPr="00DC746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DC7469">
              <w:rPr>
                <w:rFonts w:ascii="Arial" w:hAnsi="Arial" w:cs="Arial"/>
                <w:sz w:val="22"/>
                <w:szCs w:val="22"/>
              </w:rPr>
              <w:t xml:space="preserve">associated </w:t>
            </w:r>
            <w:r w:rsidR="00E55E4F" w:rsidRPr="00DC7469">
              <w:rPr>
                <w:rFonts w:ascii="Arial" w:hAnsi="Arial" w:cs="Arial"/>
                <w:sz w:val="22"/>
                <w:szCs w:val="22"/>
              </w:rPr>
              <w:t>infrastructure</w:t>
            </w:r>
            <w:r w:rsidR="003756E4" w:rsidRPr="00DC7469">
              <w:rPr>
                <w:rFonts w:ascii="Arial" w:hAnsi="Arial" w:cs="Arial"/>
                <w:sz w:val="22"/>
                <w:szCs w:val="22"/>
              </w:rPr>
              <w:t>. Ensure</w:t>
            </w:r>
            <w:r w:rsidRPr="00DC7469">
              <w:rPr>
                <w:rFonts w:ascii="Arial" w:hAnsi="Arial" w:cs="Arial"/>
                <w:sz w:val="22"/>
                <w:szCs w:val="22"/>
              </w:rPr>
              <w:t xml:space="preserve"> it</w:t>
            </w:r>
            <w:r w:rsidR="00E55E4F" w:rsidRPr="00DC7469">
              <w:rPr>
                <w:rFonts w:ascii="Arial" w:hAnsi="Arial" w:cs="Arial"/>
                <w:sz w:val="22"/>
                <w:szCs w:val="22"/>
              </w:rPr>
              <w:t xml:space="preserve"> is maintained and developed in line with an agreed </w:t>
            </w:r>
            <w:r w:rsidRPr="00DC7469">
              <w:rPr>
                <w:rFonts w:ascii="Arial" w:hAnsi="Arial" w:cs="Arial"/>
                <w:sz w:val="22"/>
                <w:szCs w:val="22"/>
              </w:rPr>
              <w:t xml:space="preserve">strategy to ensure </w:t>
            </w:r>
            <w:r w:rsidR="003756E4" w:rsidRPr="00DC7469">
              <w:rPr>
                <w:rFonts w:ascii="Arial" w:hAnsi="Arial" w:cs="Arial"/>
                <w:sz w:val="22"/>
                <w:szCs w:val="22"/>
              </w:rPr>
              <w:t xml:space="preserve">maximum operational effectiveness and </w:t>
            </w:r>
            <w:proofErr w:type="gramStart"/>
            <w:r w:rsidR="003756E4" w:rsidRPr="00DC7469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DC7469">
              <w:rPr>
                <w:rFonts w:ascii="Arial" w:hAnsi="Arial" w:cs="Arial"/>
                <w:sz w:val="22"/>
                <w:szCs w:val="22"/>
              </w:rPr>
              <w:t>supported</w:t>
            </w:r>
            <w:proofErr w:type="gramEnd"/>
            <w:r w:rsidRPr="00DC74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56E4" w:rsidRPr="00DC7469">
              <w:rPr>
                <w:rFonts w:ascii="Arial" w:hAnsi="Arial" w:cs="Arial"/>
                <w:sz w:val="22"/>
                <w:szCs w:val="22"/>
              </w:rPr>
              <w:t>in line with agreed service levels and within budget.</w:t>
            </w:r>
          </w:p>
        </w:tc>
      </w:tr>
      <w:tr w:rsidR="00A57AF2" w:rsidRPr="00523046" w:rsidTr="0018429C">
        <w:trPr>
          <w:trHeight w:val="23"/>
        </w:trPr>
        <w:tc>
          <w:tcPr>
            <w:tcW w:w="10420" w:type="dxa"/>
            <w:gridSpan w:val="2"/>
            <w:shd w:val="clear" w:color="auto" w:fill="D9D9D9"/>
            <w:vAlign w:val="center"/>
          </w:tcPr>
          <w:p w:rsidR="00A57AF2" w:rsidRPr="00AB492B" w:rsidRDefault="00A57AF2" w:rsidP="00AE2BBF">
            <w:pPr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The role fits in the organisation here:</w:t>
            </w:r>
          </w:p>
        </w:tc>
      </w:tr>
      <w:tr w:rsidR="00A57AF2" w:rsidRPr="00523046" w:rsidTr="0018429C">
        <w:trPr>
          <w:trHeight w:val="4342"/>
        </w:trPr>
        <w:tc>
          <w:tcPr>
            <w:tcW w:w="10420" w:type="dxa"/>
            <w:gridSpan w:val="2"/>
            <w:vAlign w:val="center"/>
          </w:tcPr>
          <w:p w:rsidR="00A57AF2" w:rsidRPr="00AB492B" w:rsidRDefault="00DA4614" w:rsidP="00AE2BBF">
            <w:pPr>
              <w:rPr>
                <w:rFonts w:ascii="Arial" w:hAnsi="Arial" w:cs="Arial"/>
                <w:b/>
              </w:rPr>
            </w:pPr>
            <w:r>
              <w:object w:dxaOrig="10429" w:dyaOrig="5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8.6pt;height:218.4pt" o:ole="">
                  <v:imagedata r:id="rId6" o:title=""/>
                </v:shape>
                <o:OLEObject Type="Embed" ProgID="Visio.Drawing.15" ShapeID="_x0000_i1025" DrawAspect="Content" ObjectID="_1620672018" r:id="rId7"/>
              </w:object>
            </w:r>
          </w:p>
        </w:tc>
      </w:tr>
    </w:tbl>
    <w:p w:rsidR="00A57AF2" w:rsidRPr="00523046" w:rsidRDefault="00A57AF2" w:rsidP="00AE2BBF">
      <w:pPr>
        <w:rPr>
          <w:rFonts w:ascii="Arial" w:hAnsi="Arial" w:cs="Arial"/>
          <w:sz w:val="2"/>
          <w:szCs w:val="2"/>
        </w:rPr>
      </w:pPr>
      <w:r w:rsidRPr="00523046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9016"/>
      </w:tblGrid>
      <w:tr w:rsidR="00A57AF2" w:rsidRPr="00AB492B" w:rsidTr="00D12ACC">
        <w:trPr>
          <w:trHeight w:val="120"/>
        </w:trPr>
        <w:tc>
          <w:tcPr>
            <w:tcW w:w="9016" w:type="dxa"/>
            <w:shd w:val="clear" w:color="auto" w:fill="D9D9D9"/>
            <w:vAlign w:val="center"/>
          </w:tcPr>
          <w:p w:rsidR="00A57AF2" w:rsidRPr="00AB492B" w:rsidRDefault="00A57AF2" w:rsidP="00AE2BB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lastRenderedPageBreak/>
              <w:t>Key facts and figures about the role:</w:t>
            </w:r>
          </w:p>
        </w:tc>
      </w:tr>
      <w:tr w:rsidR="00A57AF2" w:rsidRPr="00AB492B" w:rsidTr="0018429C">
        <w:trPr>
          <w:trHeight w:val="268"/>
        </w:trPr>
        <w:tc>
          <w:tcPr>
            <w:tcW w:w="9242" w:type="dxa"/>
            <w:vAlign w:val="center"/>
          </w:tcPr>
          <w:p w:rsidR="00A57AF2" w:rsidRDefault="00A57AF2" w:rsidP="00AE2BB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Specialist service delivery </w:t>
            </w:r>
            <w:proofErr w:type="gramStart"/>
            <w:r>
              <w:rPr>
                <w:rFonts w:ascii="Arial" w:hAnsi="Arial" w:cs="Arial"/>
                <w:sz w:val="22"/>
              </w:rPr>
              <w:t>is provided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across the entire South Yorkshire and Humberside Police Forces.</w:t>
            </w:r>
          </w:p>
          <w:p w:rsidR="00A57AF2" w:rsidRPr="003756E4" w:rsidRDefault="00A57AF2" w:rsidP="00AE2BB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Responsi</w:t>
            </w:r>
            <w:r w:rsidR="00713C53">
              <w:rPr>
                <w:rFonts w:ascii="Arial" w:hAnsi="Arial" w:cs="Arial"/>
                <w:sz w:val="22"/>
              </w:rPr>
              <w:t xml:space="preserve">ble for circa 25-35 reports in </w:t>
            </w:r>
            <w:proofErr w:type="gramStart"/>
            <w:r w:rsidR="00713C53">
              <w:rPr>
                <w:rFonts w:ascii="Arial" w:hAnsi="Arial" w:cs="Arial"/>
                <w:sz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sub functions.</w:t>
            </w:r>
          </w:p>
          <w:p w:rsidR="003756E4" w:rsidRPr="00363632" w:rsidRDefault="003756E4" w:rsidP="00AE2BB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Critical services are delivered </w:t>
            </w:r>
            <w:r w:rsidR="0080659C">
              <w:rPr>
                <w:rFonts w:ascii="Arial" w:hAnsi="Arial" w:cs="Arial"/>
                <w:sz w:val="22"/>
              </w:rPr>
              <w:t xml:space="preserve">and supported </w:t>
            </w:r>
            <w:r>
              <w:rPr>
                <w:rFonts w:ascii="Arial" w:hAnsi="Arial" w:cs="Arial"/>
                <w:sz w:val="22"/>
              </w:rPr>
              <w:t>on a 24x7 basis</w:t>
            </w:r>
          </w:p>
        </w:tc>
      </w:tr>
      <w:tr w:rsidR="00A57AF2" w:rsidRPr="00AB492B" w:rsidTr="0018429C">
        <w:trPr>
          <w:trHeight w:val="207"/>
        </w:trPr>
        <w:tc>
          <w:tcPr>
            <w:tcW w:w="9242" w:type="dxa"/>
            <w:shd w:val="clear" w:color="auto" w:fill="D9D9D9"/>
            <w:vAlign w:val="center"/>
          </w:tcPr>
          <w:p w:rsidR="00A57AF2" w:rsidRPr="00AB492B" w:rsidRDefault="00A57AF2" w:rsidP="00AE2BB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The role’s key relationships:</w:t>
            </w:r>
          </w:p>
        </w:tc>
      </w:tr>
      <w:tr w:rsidR="00A57AF2" w:rsidRPr="00AB492B" w:rsidTr="00D12ACC">
        <w:trPr>
          <w:trHeight w:val="1595"/>
        </w:trPr>
        <w:tc>
          <w:tcPr>
            <w:tcW w:w="9242" w:type="dxa"/>
            <w:vAlign w:val="center"/>
          </w:tcPr>
          <w:p w:rsidR="00A57AF2" w:rsidRPr="00172FFB" w:rsidRDefault="00A57AF2" w:rsidP="00AE2BBF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pacing w:val="-2"/>
              </w:rPr>
            </w:pPr>
            <w:r w:rsidRPr="00024EEB">
              <w:rPr>
                <w:rFonts w:ascii="Arial" w:hAnsi="Arial" w:cs="Arial"/>
                <w:b/>
                <w:spacing w:val="-2"/>
                <w:sz w:val="22"/>
                <w:szCs w:val="22"/>
              </w:rPr>
              <w:t>Department</w:t>
            </w:r>
            <w:r w:rsidRPr="00172FFB">
              <w:rPr>
                <w:rFonts w:ascii="Arial" w:hAnsi="Arial" w:cs="Arial"/>
                <w:spacing w:val="-2"/>
                <w:sz w:val="22"/>
                <w:szCs w:val="22"/>
              </w:rPr>
              <w:t xml:space="preserve"> – </w:t>
            </w:r>
            <w:r w:rsidR="0080659C">
              <w:rPr>
                <w:rFonts w:ascii="Arial" w:hAnsi="Arial" w:cs="Arial"/>
                <w:spacing w:val="-2"/>
                <w:sz w:val="22"/>
                <w:szCs w:val="22"/>
              </w:rPr>
              <w:t>Collaborating within the IT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management team </w:t>
            </w:r>
            <w:r w:rsidR="0080659C">
              <w:rPr>
                <w:rFonts w:ascii="Arial" w:hAnsi="Arial" w:cs="Arial"/>
                <w:spacing w:val="-2"/>
                <w:sz w:val="22"/>
                <w:szCs w:val="22"/>
              </w:rPr>
              <w:t xml:space="preserve">to deliver departmental objectives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and </w:t>
            </w:r>
            <w:r w:rsidRPr="00172FFB">
              <w:rPr>
                <w:rFonts w:ascii="Arial" w:hAnsi="Arial" w:cs="Arial"/>
                <w:spacing w:val="-2"/>
                <w:sz w:val="22"/>
                <w:szCs w:val="22"/>
              </w:rPr>
              <w:t>managing the performance and dev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elopment of staff throughout both</w:t>
            </w:r>
            <w:r w:rsidRPr="00172FFB">
              <w:rPr>
                <w:rFonts w:ascii="Arial" w:hAnsi="Arial" w:cs="Arial"/>
                <w:spacing w:val="-2"/>
                <w:sz w:val="22"/>
                <w:szCs w:val="22"/>
              </w:rPr>
              <w:t xml:space="preserve"> Forces.</w:t>
            </w:r>
          </w:p>
          <w:p w:rsidR="00A57AF2" w:rsidRDefault="00A57AF2" w:rsidP="00AE2BBF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pacing w:val="-2"/>
              </w:rPr>
            </w:pPr>
            <w:r w:rsidRPr="000521AD">
              <w:rPr>
                <w:rFonts w:ascii="Arial" w:hAnsi="Arial" w:cs="Arial"/>
                <w:b/>
                <w:spacing w:val="-2"/>
                <w:sz w:val="22"/>
                <w:szCs w:val="22"/>
              </w:rPr>
              <w:t>Internally</w:t>
            </w:r>
            <w:r w:rsidRPr="00172FFB">
              <w:rPr>
                <w:rFonts w:ascii="Arial" w:hAnsi="Arial" w:cs="Arial"/>
                <w:spacing w:val="-2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 w:rsidRPr="00172FFB">
              <w:rPr>
                <w:rFonts w:ascii="Arial" w:hAnsi="Arial" w:cs="Arial"/>
                <w:spacing w:val="-2"/>
                <w:sz w:val="22"/>
                <w:szCs w:val="22"/>
              </w:rPr>
              <w:t>ll Heads of Department and senior management of both Forces.</w:t>
            </w:r>
          </w:p>
          <w:p w:rsidR="00A57AF2" w:rsidRPr="00ED33A7" w:rsidRDefault="00A57AF2" w:rsidP="00AE2BBF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pacing w:val="-2"/>
              </w:rPr>
            </w:pPr>
            <w:r w:rsidRPr="000521AD">
              <w:rPr>
                <w:rFonts w:ascii="Arial" w:hAnsi="Arial" w:cs="Arial"/>
                <w:b/>
                <w:spacing w:val="-2"/>
                <w:sz w:val="22"/>
                <w:szCs w:val="22"/>
              </w:rPr>
              <w:t>Externally</w:t>
            </w:r>
            <w:r w:rsidRPr="00ED33A7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– Suppliers </w:t>
            </w:r>
            <w:r w:rsidRPr="00ED33A7">
              <w:rPr>
                <w:rFonts w:ascii="Arial" w:hAnsi="Arial" w:cs="Arial"/>
                <w:spacing w:val="-2"/>
                <w:sz w:val="22"/>
                <w:szCs w:val="22"/>
              </w:rPr>
              <w:t xml:space="preserve">/ contractors - negotiating contracts and developing </w:t>
            </w:r>
            <w:proofErr w:type="gramStart"/>
            <w:r w:rsidRPr="00ED33A7">
              <w:rPr>
                <w:rFonts w:ascii="Arial" w:hAnsi="Arial" w:cs="Arial"/>
                <w:spacing w:val="-2"/>
                <w:sz w:val="22"/>
                <w:szCs w:val="22"/>
              </w:rPr>
              <w:t xml:space="preserve">long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term</w:t>
            </w:r>
            <w:proofErr w:type="gramEnd"/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constructive relationships;</w:t>
            </w:r>
            <w:r w:rsidRPr="00ED33A7">
              <w:rPr>
                <w:rFonts w:ascii="Arial" w:hAnsi="Arial" w:cs="Arial"/>
                <w:spacing w:val="-2"/>
                <w:sz w:val="22"/>
                <w:szCs w:val="22"/>
              </w:rPr>
              <w:t xml:space="preserve"> representatives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on regional / national forums -</w:t>
            </w:r>
            <w:r w:rsidRPr="00ED33A7">
              <w:rPr>
                <w:rFonts w:ascii="Arial" w:hAnsi="Arial" w:cs="Arial"/>
                <w:spacing w:val="-2"/>
                <w:sz w:val="22"/>
                <w:szCs w:val="22"/>
              </w:rPr>
              <w:t xml:space="preserve"> representing Force interests and</w:t>
            </w:r>
            <w:r w:rsidR="0080659C">
              <w:rPr>
                <w:rFonts w:ascii="Arial" w:hAnsi="Arial" w:cs="Arial"/>
                <w:spacing w:val="-2"/>
                <w:sz w:val="22"/>
                <w:szCs w:val="22"/>
              </w:rPr>
              <w:t xml:space="preserve"> securing mutually beneficial IT</w:t>
            </w:r>
            <w:r w:rsidRPr="00ED33A7">
              <w:rPr>
                <w:rFonts w:ascii="Arial" w:hAnsi="Arial" w:cs="Arial"/>
                <w:spacing w:val="-2"/>
                <w:sz w:val="22"/>
                <w:szCs w:val="22"/>
              </w:rPr>
              <w:t xml:space="preserve"> solutions.</w:t>
            </w:r>
          </w:p>
        </w:tc>
      </w:tr>
      <w:tr w:rsidR="00A57AF2" w:rsidRPr="00AB492B" w:rsidTr="0018429C">
        <w:trPr>
          <w:trHeight w:val="89"/>
        </w:trPr>
        <w:tc>
          <w:tcPr>
            <w:tcW w:w="9242" w:type="dxa"/>
            <w:shd w:val="clear" w:color="auto" w:fill="D9D9D9"/>
            <w:vAlign w:val="center"/>
          </w:tcPr>
          <w:p w:rsidR="00A57AF2" w:rsidRPr="00AB492B" w:rsidRDefault="00A57AF2" w:rsidP="00AE2BBF">
            <w:pPr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The role is accountable for:</w:t>
            </w:r>
          </w:p>
        </w:tc>
      </w:tr>
      <w:tr w:rsidR="00A57AF2" w:rsidRPr="00AB492B" w:rsidTr="00D12ACC">
        <w:trPr>
          <w:trHeight w:val="557"/>
        </w:trPr>
        <w:tc>
          <w:tcPr>
            <w:tcW w:w="9242" w:type="dxa"/>
          </w:tcPr>
          <w:p w:rsidR="008B69E6" w:rsidRPr="005846BC" w:rsidRDefault="008B69E6" w:rsidP="008B69E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Managing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develop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Fo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rce communications network (telephony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, radio and mobile)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so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performance of dependent systems is acceptable and allowance </w:t>
            </w:r>
            <w:proofErr w:type="gramStart"/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>is made</w:t>
            </w:r>
            <w:proofErr w:type="gramEnd"/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the requirements of new systems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This includes the coordination of mobile and fixed line 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services and capacity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 facilitate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continued growth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force communications systems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B69E6" w:rsidRPr="005846BC" w:rsidRDefault="008B69E6" w:rsidP="008B69E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Managing large telecommunication and infrastructure projects, ensuring delivery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to specification and within agreed timescales and budgets.</w:t>
            </w:r>
          </w:p>
          <w:p w:rsidR="008B69E6" w:rsidRPr="00F130CE" w:rsidRDefault="008B69E6" w:rsidP="008B69E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 w:rsidRPr="00281E67">
              <w:rPr>
                <w:rFonts w:ascii="Arial" w:hAnsi="Arial" w:cs="Arial"/>
                <w:color w:val="000000"/>
                <w:sz w:val="22"/>
                <w:szCs w:val="22"/>
              </w:rPr>
              <w:t>Design, Develop, and implem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ent new communications</w:t>
            </w:r>
            <w:r w:rsidRPr="00281E67">
              <w:rPr>
                <w:rFonts w:ascii="Arial" w:hAnsi="Arial" w:cs="Arial"/>
                <w:color w:val="000000"/>
                <w:sz w:val="22"/>
                <w:szCs w:val="22"/>
              </w:rPr>
              <w:t xml:space="preserve"> solutions as well as support colleagues, customers and suppliers 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ensure the delivery of a fully reliable 24/7 service.</w:t>
            </w:r>
          </w:p>
          <w:p w:rsidR="00A57AF2" w:rsidRPr="00AD1363" w:rsidRDefault="00A57AF2" w:rsidP="00AE2BBF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Leading, motivating and managing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0659C">
              <w:rPr>
                <w:rFonts w:ascii="Arial" w:hAnsi="Arial" w:cs="Arial"/>
                <w:color w:val="000000"/>
                <w:sz w:val="22"/>
                <w:szCs w:val="22"/>
              </w:rPr>
              <w:t>IT</w:t>
            </w:r>
            <w:r w:rsidR="00D12ACC">
              <w:rPr>
                <w:rFonts w:ascii="Arial" w:hAnsi="Arial" w:cs="Arial"/>
                <w:color w:val="000000"/>
                <w:sz w:val="22"/>
                <w:szCs w:val="22"/>
              </w:rPr>
              <w:t xml:space="preserve"> staff performance 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>across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South Yorkshire and Humberside.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dentifying developmental needs and providing support and appropriate training </w:t>
            </w:r>
            <w:proofErr w:type="gramStart"/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>through the use of</w:t>
            </w:r>
            <w:proofErr w:type="gramEnd"/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Performance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evelopment Review (PDR) System. </w:t>
            </w:r>
            <w:r w:rsidRPr="00AD1363">
              <w:rPr>
                <w:rFonts w:ascii="Arial" w:hAnsi="Arial" w:cs="Arial"/>
                <w:color w:val="000000"/>
                <w:sz w:val="22"/>
                <w:szCs w:val="22"/>
              </w:rPr>
              <w:t>Identifying appropriate equipment for staff, ensuring the best use of available technology and software.</w:t>
            </w:r>
          </w:p>
          <w:p w:rsidR="00A57AF2" w:rsidRPr="00D12ACC" w:rsidRDefault="00A57AF2" w:rsidP="00AE2BBF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Negotiating and managing</w:t>
            </w:r>
            <w:r w:rsidR="00281E67">
              <w:rPr>
                <w:rFonts w:ascii="Arial" w:hAnsi="Arial" w:cs="Arial"/>
                <w:color w:val="000000"/>
                <w:sz w:val="22"/>
                <w:szCs w:val="22"/>
              </w:rPr>
              <w:t xml:space="preserve"> ongoing 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>service and provision contracts</w:t>
            </w:r>
            <w:r w:rsidR="00D12ACC">
              <w:rPr>
                <w:rFonts w:ascii="Arial" w:hAnsi="Arial" w:cs="Arial"/>
                <w:color w:val="000000"/>
                <w:sz w:val="22"/>
                <w:szCs w:val="22"/>
              </w:rPr>
              <w:t xml:space="preserve"> including the provision of</w:t>
            </w:r>
            <w:r w:rsidR="00D12ACC"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12ACC">
              <w:rPr>
                <w:rFonts w:ascii="Arial" w:hAnsi="Arial" w:cs="Arial"/>
                <w:color w:val="000000"/>
                <w:sz w:val="22"/>
                <w:szCs w:val="22"/>
              </w:rPr>
              <w:t>performance reporting</w:t>
            </w:r>
            <w:r w:rsidR="00D12ACC"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to an agreed schedule (or on request), including ma</w:t>
            </w:r>
            <w:r w:rsidR="00D12ACC">
              <w:rPr>
                <w:rFonts w:ascii="Arial" w:hAnsi="Arial" w:cs="Arial"/>
                <w:color w:val="000000"/>
                <w:sz w:val="22"/>
                <w:szCs w:val="22"/>
              </w:rPr>
              <w:t>nagement, financial and availability related to SLA’s promoting best value</w:t>
            </w:r>
            <w:r w:rsidR="00D12ACC" w:rsidRPr="005846B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A57AF2" w:rsidRDefault="00A57AF2" w:rsidP="00AE2BBF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0980">
              <w:rPr>
                <w:rFonts w:ascii="Arial" w:hAnsi="Arial" w:cs="Arial"/>
                <w:sz w:val="22"/>
                <w:szCs w:val="22"/>
              </w:rPr>
              <w:t>Acting as the process owner for relevant ITIL processes.  Ensuring these are fit for purpose, effective, efficient and supportive of service delivery according to customer requirements.</w:t>
            </w:r>
          </w:p>
          <w:p w:rsidR="00F130CE" w:rsidRPr="00CB0980" w:rsidRDefault="00F130CE" w:rsidP="00AE2BBF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 and drive innovation and the exploitation of new and emerging technologies.</w:t>
            </w:r>
          </w:p>
          <w:p w:rsidR="00281E67" w:rsidRPr="00CB0980" w:rsidRDefault="00281E67" w:rsidP="00AE2BBF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0980">
              <w:rPr>
                <w:rFonts w:ascii="Arial" w:hAnsi="Arial" w:cs="Arial"/>
                <w:sz w:val="22"/>
                <w:szCs w:val="22"/>
              </w:rPr>
              <w:t>Work with appropriate stakeholders and managers to define, implement and operate new operational IT standards</w:t>
            </w:r>
          </w:p>
          <w:p w:rsidR="00A57AF2" w:rsidRPr="005846BC" w:rsidRDefault="00A57AF2" w:rsidP="00AE2BBF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Managing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annual budgets within </w:t>
            </w:r>
            <w:r w:rsidR="00F130CE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related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service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area and report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to Head of </w:t>
            </w:r>
            <w:r w:rsidR="001D1A9C">
              <w:rPr>
                <w:rFonts w:ascii="Arial" w:hAnsi="Arial" w:cs="Arial"/>
                <w:color w:val="000000"/>
                <w:sz w:val="22"/>
                <w:szCs w:val="22"/>
              </w:rPr>
              <w:t>IT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130CE" w:rsidRPr="005846BC" w:rsidRDefault="00312549" w:rsidP="00AE2BBF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Ensure that</w:t>
            </w:r>
            <w:r w:rsidR="00F130C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IT Health Check remedial action plans are developed and strictly adhered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proofErr w:type="gramEnd"/>
            <w:r w:rsidR="00F130C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A57AF2" w:rsidRPr="005846BC" w:rsidRDefault="00A57AF2" w:rsidP="00AE2BBF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Ensuring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that systems are secure and protected from unauthorised access, ensuring that sensitive and confidential material </w:t>
            </w:r>
            <w:proofErr w:type="gramStart"/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>is dealt with</w:t>
            </w:r>
            <w:proofErr w:type="gramEnd"/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professionally.</w:t>
            </w:r>
          </w:p>
          <w:p w:rsidR="00A57AF2" w:rsidRPr="00281E67" w:rsidRDefault="00A57AF2" w:rsidP="00AE2BBF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Supporting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Head of </w:t>
            </w:r>
            <w:r w:rsidR="001D1A9C">
              <w:rPr>
                <w:rFonts w:ascii="Arial" w:hAnsi="Arial" w:cs="Arial"/>
                <w:color w:val="000000"/>
                <w:sz w:val="22"/>
                <w:szCs w:val="22"/>
              </w:rPr>
              <w:t>IT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 the creation and development of the overall </w:t>
            </w:r>
            <w:r w:rsidR="001D1A9C">
              <w:rPr>
                <w:rFonts w:ascii="Arial" w:hAnsi="Arial" w:cs="Arial"/>
                <w:color w:val="000000"/>
                <w:sz w:val="22"/>
                <w:szCs w:val="22"/>
              </w:rPr>
              <w:t>IT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strategic plan and specific F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>orce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D1A9C">
              <w:rPr>
                <w:rFonts w:ascii="Arial" w:hAnsi="Arial" w:cs="Arial"/>
                <w:color w:val="000000"/>
                <w:sz w:val="22"/>
                <w:szCs w:val="22"/>
              </w:rPr>
              <w:t>IT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objectives.</w:t>
            </w:r>
          </w:p>
          <w:p w:rsidR="00A57AF2" w:rsidRPr="005846BC" w:rsidRDefault="00A57AF2" w:rsidP="00AE2BBF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Ensuring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business continuity plans </w:t>
            </w:r>
            <w:proofErr w:type="gramStart"/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>are kept</w:t>
            </w:r>
            <w:proofErr w:type="gramEnd"/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up to date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>, tested and i</w:t>
            </w:r>
            <w:r w:rsidR="00281E67">
              <w:rPr>
                <w:rFonts w:ascii="Arial" w:hAnsi="Arial" w:cs="Arial"/>
                <w:color w:val="000000"/>
                <w:sz w:val="22"/>
                <w:szCs w:val="22"/>
              </w:rPr>
              <w:t>mplemented and that emergency operational support is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provided in a timely and effective manner.</w:t>
            </w:r>
          </w:p>
          <w:p w:rsidR="00A57AF2" w:rsidRPr="005846BC" w:rsidRDefault="00A57AF2" w:rsidP="00AE2BBF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color w:val="000000"/>
              </w:rPr>
            </w:pP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>Represent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Force/Service at natio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nal and public forums and liaising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 press on appropriate issues (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>in conjunction with corporate communications)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A57AF2" w:rsidRPr="00947AA2" w:rsidRDefault="00A57AF2" w:rsidP="00AE2BBF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 xml:space="preserve">Any other duties commensurate with the grade of the post as directed by the Head of </w:t>
            </w:r>
            <w:r w:rsidR="001D1A9C">
              <w:rPr>
                <w:rFonts w:ascii="Arial" w:hAnsi="Arial" w:cs="Arial"/>
                <w:color w:val="000000"/>
                <w:sz w:val="22"/>
                <w:szCs w:val="22"/>
              </w:rPr>
              <w:t>IT</w:t>
            </w:r>
            <w:r w:rsidRPr="005846B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A57AF2" w:rsidRPr="00AB492B" w:rsidTr="0018429C">
        <w:trPr>
          <w:trHeight w:val="55"/>
        </w:trPr>
        <w:tc>
          <w:tcPr>
            <w:tcW w:w="9242" w:type="dxa"/>
            <w:shd w:val="clear" w:color="auto" w:fill="D9D9D9"/>
            <w:vAlign w:val="center"/>
          </w:tcPr>
          <w:p w:rsidR="00A57AF2" w:rsidRPr="00AB492B" w:rsidRDefault="00A57AF2" w:rsidP="00AE2BBF">
            <w:pPr>
              <w:tabs>
                <w:tab w:val="left" w:pos="-720"/>
                <w:tab w:val="left" w:pos="0"/>
              </w:tabs>
              <w:suppressAutoHyphens/>
              <w:spacing w:after="54"/>
              <w:ind w:left="720" w:hanging="720"/>
              <w:rPr>
                <w:rFonts w:ascii="Arial" w:hAnsi="Arial" w:cs="Arial"/>
                <w:spacing w:val="-2"/>
              </w:rPr>
            </w:pPr>
            <w:r>
              <w:lastRenderedPageBreak/>
              <w:br w:type="page"/>
            </w: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The role’s performance will be assessed and measured by: </w:t>
            </w:r>
          </w:p>
        </w:tc>
      </w:tr>
      <w:tr w:rsidR="00A57AF2" w:rsidRPr="00AB492B" w:rsidTr="00D12ACC">
        <w:trPr>
          <w:trHeight w:val="257"/>
        </w:trPr>
        <w:tc>
          <w:tcPr>
            <w:tcW w:w="9016" w:type="dxa"/>
          </w:tcPr>
          <w:p w:rsidR="00A57AF2" w:rsidRPr="002F6859" w:rsidRDefault="00A57AF2" w:rsidP="00AE2BBF">
            <w:pPr>
              <w:numPr>
                <w:ilvl w:val="0"/>
                <w:numId w:val="5"/>
              </w:numPr>
              <w:suppressAutoHyphens/>
              <w:jc w:val="both"/>
              <w:rPr>
                <w:rFonts w:ascii="Arial" w:hAnsi="Arial" w:cs="Arial"/>
              </w:rPr>
            </w:pPr>
            <w:r w:rsidRPr="002F6859">
              <w:rPr>
                <w:rFonts w:ascii="Arial" w:hAnsi="Arial" w:cs="Arial"/>
                <w:sz w:val="22"/>
              </w:rPr>
              <w:t>Continuing performance and availability of all systems.</w:t>
            </w:r>
          </w:p>
          <w:p w:rsidR="00A57AF2" w:rsidRPr="002F6859" w:rsidRDefault="00A57AF2" w:rsidP="00AE2BBF">
            <w:pPr>
              <w:numPr>
                <w:ilvl w:val="0"/>
                <w:numId w:val="5"/>
              </w:numPr>
              <w:suppressAutoHyphens/>
              <w:jc w:val="both"/>
              <w:rPr>
                <w:rFonts w:ascii="Arial" w:hAnsi="Arial" w:cs="Arial"/>
              </w:rPr>
            </w:pPr>
            <w:r w:rsidRPr="002F6859">
              <w:rPr>
                <w:rFonts w:ascii="Arial" w:hAnsi="Arial" w:cs="Arial"/>
                <w:sz w:val="22"/>
              </w:rPr>
              <w:t>Delivering S</w:t>
            </w:r>
            <w:r>
              <w:rPr>
                <w:rFonts w:ascii="Arial" w:hAnsi="Arial" w:cs="Arial"/>
                <w:sz w:val="22"/>
              </w:rPr>
              <w:t xml:space="preserve">ervice </w:t>
            </w:r>
            <w:r w:rsidRPr="002F6859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 xml:space="preserve">evel </w:t>
            </w:r>
            <w:r w:rsidRPr="002F6859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greement</w:t>
            </w:r>
            <w:r w:rsidRPr="002F6859">
              <w:rPr>
                <w:rFonts w:ascii="Arial" w:hAnsi="Arial" w:cs="Arial"/>
                <w:sz w:val="22"/>
              </w:rPr>
              <w:t>s within budget, particular</w:t>
            </w:r>
            <w:r>
              <w:rPr>
                <w:rFonts w:ascii="Arial" w:hAnsi="Arial" w:cs="Arial"/>
                <w:sz w:val="22"/>
              </w:rPr>
              <w:t>ly</w:t>
            </w:r>
            <w:r w:rsidR="00A47A31">
              <w:rPr>
                <w:rFonts w:ascii="Arial" w:hAnsi="Arial" w:cs="Arial"/>
                <w:sz w:val="22"/>
              </w:rPr>
              <w:t xml:space="preserve"> related to critical operational systems</w:t>
            </w:r>
            <w:r w:rsidRPr="002F6859">
              <w:rPr>
                <w:rFonts w:ascii="Arial" w:hAnsi="Arial" w:cs="Arial"/>
                <w:sz w:val="22"/>
              </w:rPr>
              <w:t xml:space="preserve">. </w:t>
            </w:r>
          </w:p>
          <w:p w:rsidR="00A57AF2" w:rsidRPr="002F6859" w:rsidRDefault="00A57AF2" w:rsidP="00AE2BBF">
            <w:pPr>
              <w:numPr>
                <w:ilvl w:val="0"/>
                <w:numId w:val="5"/>
              </w:numPr>
              <w:suppressAutoHyphens/>
              <w:jc w:val="both"/>
              <w:rPr>
                <w:rFonts w:ascii="Arial" w:hAnsi="Arial" w:cs="Arial"/>
              </w:rPr>
            </w:pPr>
            <w:r w:rsidRPr="002F6859">
              <w:rPr>
                <w:rFonts w:ascii="Arial" w:hAnsi="Arial" w:cs="Arial"/>
                <w:sz w:val="22"/>
              </w:rPr>
              <w:t>Meeting established Key Perform</w:t>
            </w:r>
            <w:r>
              <w:rPr>
                <w:rFonts w:ascii="Arial" w:hAnsi="Arial" w:cs="Arial"/>
                <w:sz w:val="22"/>
              </w:rPr>
              <w:t>ance Indicators</w:t>
            </w:r>
            <w:r w:rsidRPr="002F6859">
              <w:rPr>
                <w:rFonts w:ascii="Arial" w:hAnsi="Arial" w:cs="Arial"/>
                <w:sz w:val="22"/>
              </w:rPr>
              <w:t>.</w:t>
            </w:r>
          </w:p>
          <w:p w:rsidR="00A57AF2" w:rsidRDefault="00A57AF2" w:rsidP="00AE2BBF">
            <w:pPr>
              <w:numPr>
                <w:ilvl w:val="0"/>
                <w:numId w:val="5"/>
              </w:numPr>
              <w:suppressAutoHyphens/>
              <w:jc w:val="both"/>
              <w:rPr>
                <w:rFonts w:ascii="Arial" w:hAnsi="Arial" w:cs="Arial"/>
              </w:rPr>
            </w:pPr>
            <w:r w:rsidRPr="002F6859">
              <w:rPr>
                <w:rFonts w:ascii="Arial" w:hAnsi="Arial" w:cs="Arial"/>
                <w:sz w:val="22"/>
              </w:rPr>
              <w:t>User satisfaction.</w:t>
            </w:r>
          </w:p>
          <w:p w:rsidR="00A57AF2" w:rsidRPr="00A47A31" w:rsidRDefault="00A57AF2" w:rsidP="00AE2BBF">
            <w:pPr>
              <w:numPr>
                <w:ilvl w:val="0"/>
                <w:numId w:val="5"/>
              </w:numPr>
              <w:suppressAutoHyphens/>
              <w:jc w:val="both"/>
              <w:rPr>
                <w:rFonts w:ascii="Arial" w:hAnsi="Arial" w:cs="Arial"/>
              </w:rPr>
            </w:pPr>
            <w:r w:rsidRPr="00AC4525">
              <w:rPr>
                <w:rFonts w:ascii="Arial" w:hAnsi="Arial" w:cs="Arial"/>
                <w:sz w:val="22"/>
              </w:rPr>
              <w:t>Delivering new or changed products and services to agreed business requirements and budget.</w:t>
            </w:r>
          </w:p>
          <w:p w:rsidR="00A47A31" w:rsidRPr="00F130CE" w:rsidRDefault="00A47A31" w:rsidP="00AE2BBF">
            <w:pPr>
              <w:numPr>
                <w:ilvl w:val="0"/>
                <w:numId w:val="5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Innovation of emerging technologies in shaping operational effectiveness, availability and efficiencies.</w:t>
            </w:r>
          </w:p>
          <w:p w:rsidR="00F130CE" w:rsidRPr="00F130CE" w:rsidRDefault="00F130CE" w:rsidP="00AE2BBF">
            <w:pPr>
              <w:numPr>
                <w:ilvl w:val="0"/>
                <w:numId w:val="5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Delivery of efficiencies, savings and business benefits</w:t>
            </w:r>
          </w:p>
          <w:p w:rsidR="00F130CE" w:rsidRPr="00AC4525" w:rsidRDefault="00F130CE" w:rsidP="00AE2BBF">
            <w:pPr>
              <w:numPr>
                <w:ilvl w:val="0"/>
                <w:numId w:val="5"/>
              </w:num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Completion of agreed personal and departmental objectives</w:t>
            </w:r>
          </w:p>
        </w:tc>
      </w:tr>
      <w:tr w:rsidR="00A57AF2" w:rsidRPr="00AB492B" w:rsidTr="00D12ACC">
        <w:trPr>
          <w:trHeight w:val="69"/>
        </w:trPr>
        <w:tc>
          <w:tcPr>
            <w:tcW w:w="9016" w:type="dxa"/>
            <w:shd w:val="clear" w:color="auto" w:fill="D9D9D9"/>
            <w:vAlign w:val="center"/>
          </w:tcPr>
          <w:p w:rsidR="00A57AF2" w:rsidRPr="00AB492B" w:rsidRDefault="00A57AF2" w:rsidP="00AE2BBF">
            <w:pPr>
              <w:suppressAutoHyphens/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z w:val="22"/>
                <w:szCs w:val="22"/>
              </w:rPr>
              <w:t>What is needed to be successful in this role: (Person Specification)</w:t>
            </w:r>
          </w:p>
        </w:tc>
      </w:tr>
      <w:tr w:rsidR="00A57AF2" w:rsidRPr="00AB492B" w:rsidTr="00D12ACC">
        <w:trPr>
          <w:trHeight w:val="944"/>
        </w:trPr>
        <w:tc>
          <w:tcPr>
            <w:tcW w:w="9016" w:type="dxa"/>
            <w:vAlign w:val="center"/>
          </w:tcPr>
          <w:p w:rsidR="00A57AF2" w:rsidRPr="005846BC" w:rsidRDefault="00A57AF2" w:rsidP="00AE2BBF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Arial" w:hAnsi="Arial" w:cs="Arial"/>
              </w:rPr>
            </w:pPr>
            <w:r w:rsidRPr="005846BC">
              <w:rPr>
                <w:rFonts w:ascii="Arial" w:hAnsi="Arial" w:cs="Arial"/>
                <w:sz w:val="22"/>
                <w:szCs w:val="22"/>
              </w:rPr>
              <w:t xml:space="preserve">Educated to degree level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846BC">
              <w:rPr>
                <w:rFonts w:ascii="Arial" w:hAnsi="Arial" w:cs="Arial"/>
                <w:sz w:val="22"/>
                <w:szCs w:val="22"/>
              </w:rPr>
              <w:t xml:space="preserve">or equivalent </w:t>
            </w:r>
            <w:r>
              <w:rPr>
                <w:rFonts w:ascii="Arial" w:hAnsi="Arial" w:cs="Arial"/>
                <w:sz w:val="22"/>
                <w:szCs w:val="22"/>
              </w:rPr>
              <w:t>qualification or</w:t>
            </w:r>
            <w:r w:rsidR="000B4EE6">
              <w:rPr>
                <w:rFonts w:ascii="Arial" w:hAnsi="Arial" w:cs="Arial"/>
                <w:sz w:val="22"/>
                <w:szCs w:val="22"/>
              </w:rPr>
              <w:t xml:space="preserve"> relevant</w:t>
            </w:r>
            <w:r>
              <w:rPr>
                <w:rFonts w:ascii="Arial" w:hAnsi="Arial" w:cs="Arial"/>
                <w:sz w:val="22"/>
                <w:szCs w:val="22"/>
              </w:rPr>
              <w:t xml:space="preserve"> applied experience).</w:t>
            </w:r>
          </w:p>
          <w:p w:rsidR="00A57AF2" w:rsidRPr="00CB0980" w:rsidRDefault="00A57AF2" w:rsidP="00AE2BBF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Detailed</w:t>
            </w:r>
            <w:r w:rsidRPr="005846BC">
              <w:rPr>
                <w:rFonts w:ascii="Arial" w:hAnsi="Arial" w:cs="Arial"/>
                <w:sz w:val="22"/>
                <w:szCs w:val="22"/>
              </w:rPr>
              <w:t xml:space="preserve"> knowledge of land mobile, data communic</w:t>
            </w:r>
            <w:r w:rsidR="00D12ACC">
              <w:rPr>
                <w:rFonts w:ascii="Arial" w:hAnsi="Arial" w:cs="Arial"/>
                <w:sz w:val="22"/>
                <w:szCs w:val="22"/>
              </w:rPr>
              <w:t>ation and associated infrastructure</w:t>
            </w:r>
            <w:r w:rsidRPr="005846B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B0980" w:rsidRPr="005846BC" w:rsidRDefault="00CB0980" w:rsidP="00AE2BBF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Previous experience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large scale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mobile communications deployments and Unified Communications principles. </w:t>
            </w:r>
          </w:p>
          <w:p w:rsidR="00A57AF2" w:rsidRPr="009E4EEE" w:rsidRDefault="00A57AF2" w:rsidP="00AE2BBF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Arial" w:hAnsi="Arial" w:cs="Arial"/>
              </w:rPr>
            </w:pPr>
            <w:r w:rsidRPr="005846BC">
              <w:rPr>
                <w:rFonts w:ascii="Arial" w:hAnsi="Arial" w:cs="Arial"/>
                <w:sz w:val="22"/>
                <w:szCs w:val="22"/>
              </w:rPr>
              <w:t xml:space="preserve">ITIL Qualified </w:t>
            </w:r>
            <w:r w:rsidR="000B4EE6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5846BC"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="000B4EE6">
              <w:rPr>
                <w:rFonts w:ascii="Arial" w:hAnsi="Arial" w:cs="Arial"/>
                <w:sz w:val="22"/>
                <w:szCs w:val="22"/>
              </w:rPr>
              <w:t xml:space="preserve">least V3 </w:t>
            </w:r>
            <w:r w:rsidRPr="005846BC">
              <w:rPr>
                <w:rFonts w:ascii="Arial" w:hAnsi="Arial" w:cs="Arial"/>
                <w:sz w:val="22"/>
                <w:szCs w:val="22"/>
              </w:rPr>
              <w:t>Foundation Level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4EEE" w:rsidRPr="009E4EEE" w:rsidRDefault="009E4EEE" w:rsidP="00AE2BBF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Demonstrable experience of managing highly technical teams in excess of 20 staff</w:t>
            </w:r>
          </w:p>
          <w:p w:rsidR="009E4EEE" w:rsidRPr="008B69E6" w:rsidRDefault="009E4EEE" w:rsidP="00AE2BBF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in managing critical systems in a 24x7 environment</w:t>
            </w:r>
          </w:p>
          <w:p w:rsidR="008B69E6" w:rsidRPr="009E4EEE" w:rsidRDefault="008B69E6" w:rsidP="00AE2BBF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written and verbal communication skills, comfortable at presenting at all levels.</w:t>
            </w:r>
          </w:p>
          <w:p w:rsidR="009E4EEE" w:rsidRPr="005846BC" w:rsidRDefault="009E4EEE" w:rsidP="00AE2BBF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manage major incidents with a calm and confident approach whilst providing clear direction to staff to resolve incidents in a timely manner</w:t>
            </w:r>
          </w:p>
          <w:p w:rsidR="00A57AF2" w:rsidRPr="005846BC" w:rsidRDefault="00A57AF2" w:rsidP="00AE2BBF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 of</w:t>
            </w:r>
            <w:r w:rsidRPr="005846BC">
              <w:rPr>
                <w:rFonts w:ascii="Arial" w:hAnsi="Arial" w:cs="Arial"/>
                <w:sz w:val="22"/>
                <w:szCs w:val="22"/>
              </w:rPr>
              <w:t xml:space="preserve"> a technical environment in a supervisory and management capacity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7AF2" w:rsidRDefault="000B4EE6" w:rsidP="00AE2BBF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Demonstrable experience in the </w:t>
            </w:r>
            <w:r w:rsidR="00A57AF2">
              <w:rPr>
                <w:rFonts w:ascii="Arial" w:hAnsi="Arial" w:cs="Arial"/>
                <w:sz w:val="22"/>
                <w:szCs w:val="22"/>
              </w:rPr>
              <w:t>management/co</w:t>
            </w:r>
            <w:r w:rsidR="00A57AF2" w:rsidRPr="005846BC">
              <w:rPr>
                <w:rFonts w:ascii="Arial" w:hAnsi="Arial" w:cs="Arial"/>
                <w:sz w:val="22"/>
                <w:szCs w:val="22"/>
              </w:rPr>
              <w:t xml:space="preserve">ordination of </w:t>
            </w:r>
            <w:r w:rsidR="00A47A31">
              <w:rPr>
                <w:rFonts w:ascii="Arial" w:hAnsi="Arial" w:cs="Arial"/>
                <w:sz w:val="22"/>
                <w:szCs w:val="22"/>
              </w:rPr>
              <w:t xml:space="preserve">multiple </w:t>
            </w:r>
            <w:r w:rsidR="00A57AF2" w:rsidRPr="005846BC">
              <w:rPr>
                <w:rFonts w:ascii="Arial" w:hAnsi="Arial" w:cs="Arial"/>
                <w:sz w:val="22"/>
                <w:szCs w:val="22"/>
              </w:rPr>
              <w:t>projects with proven budgetary and planning control skills</w:t>
            </w:r>
            <w:r w:rsidR="00A57A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7AF2" w:rsidRPr="00A47A31" w:rsidRDefault="00A57AF2" w:rsidP="00AE2BBF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 of budgetary and financial management</w:t>
            </w:r>
          </w:p>
          <w:p w:rsidR="00A57AF2" w:rsidRPr="005846BC" w:rsidRDefault="00A57AF2" w:rsidP="00AE2BBF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of senior manager behavioural competencies</w:t>
            </w:r>
          </w:p>
          <w:p w:rsidR="00A57AF2" w:rsidRPr="005846BC" w:rsidRDefault="00A57AF2" w:rsidP="00AE2BBF">
            <w:pPr>
              <w:numPr>
                <w:ilvl w:val="0"/>
                <w:numId w:val="1"/>
              </w:numPr>
              <w:suppressAutoHyphens/>
              <w:ind w:left="714" w:hanging="357"/>
              <w:jc w:val="both"/>
              <w:rPr>
                <w:rFonts w:ascii="Arial" w:hAnsi="Arial" w:cs="Arial"/>
              </w:rPr>
            </w:pPr>
            <w:r w:rsidRPr="005846BC">
              <w:rPr>
                <w:rFonts w:ascii="Arial" w:hAnsi="Arial" w:cs="Arial"/>
                <w:sz w:val="22"/>
                <w:szCs w:val="22"/>
              </w:rPr>
              <w:t>Ability to travel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South Yorkshire and Humberside, and throughout the country when appropriate.</w:t>
            </w:r>
          </w:p>
        </w:tc>
      </w:tr>
      <w:tr w:rsidR="00A57AF2" w:rsidRPr="00AB492B" w:rsidTr="00D12ACC">
        <w:trPr>
          <w:trHeight w:val="187"/>
        </w:trPr>
        <w:tc>
          <w:tcPr>
            <w:tcW w:w="9016" w:type="dxa"/>
            <w:shd w:val="clear" w:color="auto" w:fill="D9D9D9"/>
            <w:vAlign w:val="center"/>
          </w:tcPr>
          <w:p w:rsidR="00A57AF2" w:rsidRPr="00AB492B" w:rsidRDefault="00A57AF2" w:rsidP="00AE2BBF">
            <w:pPr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b/>
                <w:spacing w:val="-2"/>
                <w:sz w:val="22"/>
                <w:szCs w:val="22"/>
              </w:rPr>
              <w:t>Additional Information</w:t>
            </w:r>
          </w:p>
        </w:tc>
      </w:tr>
      <w:tr w:rsidR="00A57AF2" w:rsidRPr="00AB492B" w:rsidTr="00D12ACC">
        <w:trPr>
          <w:trHeight w:val="63"/>
        </w:trPr>
        <w:tc>
          <w:tcPr>
            <w:tcW w:w="9016" w:type="dxa"/>
          </w:tcPr>
          <w:p w:rsidR="00A57AF2" w:rsidRPr="00570726" w:rsidRDefault="00A57AF2" w:rsidP="00AE2BBF">
            <w:pPr>
              <w:rPr>
                <w:rFonts w:ascii="Arial" w:hAnsi="Arial" w:cs="Arial"/>
                <w:spacing w:val="-2"/>
              </w:rPr>
            </w:pPr>
            <w:r w:rsidRPr="00570726">
              <w:rPr>
                <w:rFonts w:ascii="Arial" w:hAnsi="Arial" w:cs="Arial"/>
                <w:spacing w:val="-2"/>
                <w:sz w:val="22"/>
                <w:szCs w:val="22"/>
              </w:rPr>
              <w:t>N/A</w:t>
            </w:r>
          </w:p>
        </w:tc>
      </w:tr>
    </w:tbl>
    <w:p w:rsidR="00A57AF2" w:rsidRPr="00AB492B" w:rsidRDefault="00A57AF2" w:rsidP="00AE2BBF">
      <w:pPr>
        <w:tabs>
          <w:tab w:val="left" w:pos="-720"/>
          <w:tab w:val="left" w:pos="0"/>
        </w:tabs>
        <w:suppressAutoHyphens/>
        <w:spacing w:after="54"/>
        <w:ind w:left="720" w:hanging="720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469"/>
      </w:tblGrid>
      <w:tr w:rsidR="00A57AF2" w:rsidRPr="00AB492B" w:rsidTr="001D1A9C">
        <w:tc>
          <w:tcPr>
            <w:tcW w:w="4547" w:type="dxa"/>
          </w:tcPr>
          <w:p w:rsidR="00A57AF2" w:rsidRPr="00AB492B" w:rsidRDefault="00A57AF2" w:rsidP="00AE2BBF">
            <w:pPr>
              <w:tabs>
                <w:tab w:val="left" w:pos="-720"/>
                <w:tab w:val="left" w:pos="0"/>
              </w:tabs>
              <w:suppressAutoHyphens/>
              <w:spacing w:before="120"/>
              <w:rPr>
                <w:rFonts w:ascii="Arial" w:hAnsi="Arial" w:cs="Arial"/>
              </w:rPr>
            </w:pPr>
            <w:r w:rsidRPr="00AB492B">
              <w:rPr>
                <w:rFonts w:ascii="Arial" w:hAnsi="Arial" w:cs="Arial"/>
                <w:sz w:val="22"/>
                <w:szCs w:val="22"/>
              </w:rPr>
              <w:t>Manager Sign Off:</w:t>
            </w:r>
            <w:r w:rsidRPr="00AB492B">
              <w:rPr>
                <w:rFonts w:ascii="Arial" w:hAnsi="Arial" w:cs="Arial"/>
                <w:sz w:val="22"/>
                <w:szCs w:val="22"/>
              </w:rPr>
              <w:tab/>
            </w:r>
          </w:p>
          <w:p w:rsidR="00A57AF2" w:rsidRPr="00AB492B" w:rsidRDefault="00A57AF2" w:rsidP="00AE2BBF">
            <w:pPr>
              <w:tabs>
                <w:tab w:val="left" w:pos="-720"/>
                <w:tab w:val="left" w:pos="0"/>
              </w:tabs>
              <w:suppressAutoHyphens/>
              <w:spacing w:before="120"/>
              <w:rPr>
                <w:rFonts w:ascii="Arial" w:hAnsi="Arial" w:cs="Arial"/>
              </w:rPr>
            </w:pPr>
            <w:r w:rsidRPr="00AB492B">
              <w:rPr>
                <w:rFonts w:ascii="Arial" w:hAnsi="Arial" w:cs="Arial"/>
                <w:sz w:val="22"/>
                <w:szCs w:val="22"/>
              </w:rPr>
              <w:tab/>
            </w:r>
          </w:p>
          <w:p w:rsidR="00A57AF2" w:rsidRPr="00AB492B" w:rsidRDefault="00A57AF2" w:rsidP="00AE2BBF">
            <w:pPr>
              <w:tabs>
                <w:tab w:val="left" w:pos="-720"/>
                <w:tab w:val="left" w:pos="0"/>
              </w:tabs>
              <w:suppressAutoHyphens/>
              <w:spacing w:before="120"/>
              <w:rPr>
                <w:rFonts w:ascii="Arial" w:hAnsi="Arial" w:cs="Arial"/>
              </w:rPr>
            </w:pPr>
          </w:p>
          <w:p w:rsidR="00A57AF2" w:rsidRPr="00AB492B" w:rsidRDefault="00A57AF2" w:rsidP="00AE2BBF">
            <w:pPr>
              <w:tabs>
                <w:tab w:val="left" w:pos="-720"/>
                <w:tab w:val="left" w:pos="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4469" w:type="dxa"/>
          </w:tcPr>
          <w:p w:rsidR="00A57AF2" w:rsidRPr="00AB492B" w:rsidRDefault="00A57AF2" w:rsidP="00AE2BBF">
            <w:pPr>
              <w:tabs>
                <w:tab w:val="left" w:pos="-720"/>
                <w:tab w:val="left" w:pos="0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</w:rPr>
            </w:pPr>
            <w:r w:rsidRPr="00AB492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93322F" w:rsidRDefault="0093322F" w:rsidP="00AE2BBF"/>
    <w:sectPr w:rsidR="0093322F" w:rsidSect="00933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61F5"/>
    <w:multiLevelType w:val="hybridMultilevel"/>
    <w:tmpl w:val="826E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7A51"/>
    <w:multiLevelType w:val="hybridMultilevel"/>
    <w:tmpl w:val="7D20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47244"/>
    <w:multiLevelType w:val="hybridMultilevel"/>
    <w:tmpl w:val="C16CF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E3BA0"/>
    <w:multiLevelType w:val="hybridMultilevel"/>
    <w:tmpl w:val="65E0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65687"/>
    <w:multiLevelType w:val="hybridMultilevel"/>
    <w:tmpl w:val="7626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B68F6"/>
    <w:multiLevelType w:val="hybridMultilevel"/>
    <w:tmpl w:val="74381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D6"/>
    <w:rsid w:val="00053AA7"/>
    <w:rsid w:val="00081A20"/>
    <w:rsid w:val="000B21A8"/>
    <w:rsid w:val="000B4EE6"/>
    <w:rsid w:val="000E38CA"/>
    <w:rsid w:val="00163D4B"/>
    <w:rsid w:val="0018429C"/>
    <w:rsid w:val="001D1A9C"/>
    <w:rsid w:val="001E71B8"/>
    <w:rsid w:val="00227748"/>
    <w:rsid w:val="002671CB"/>
    <w:rsid w:val="00281E67"/>
    <w:rsid w:val="00292E3F"/>
    <w:rsid w:val="00312549"/>
    <w:rsid w:val="003756E4"/>
    <w:rsid w:val="004175D8"/>
    <w:rsid w:val="004E64E1"/>
    <w:rsid w:val="006357A0"/>
    <w:rsid w:val="006E2DAE"/>
    <w:rsid w:val="00713C53"/>
    <w:rsid w:val="0080659C"/>
    <w:rsid w:val="00810BC7"/>
    <w:rsid w:val="00812026"/>
    <w:rsid w:val="00872320"/>
    <w:rsid w:val="008B69E6"/>
    <w:rsid w:val="00904CEE"/>
    <w:rsid w:val="0093322F"/>
    <w:rsid w:val="0094068B"/>
    <w:rsid w:val="009E4EEE"/>
    <w:rsid w:val="00A111D6"/>
    <w:rsid w:val="00A47A31"/>
    <w:rsid w:val="00A57AF2"/>
    <w:rsid w:val="00AC6FE7"/>
    <w:rsid w:val="00AE2BBF"/>
    <w:rsid w:val="00B41C03"/>
    <w:rsid w:val="00B776CA"/>
    <w:rsid w:val="00CB0980"/>
    <w:rsid w:val="00CC0FD6"/>
    <w:rsid w:val="00CC6CFA"/>
    <w:rsid w:val="00D12ACC"/>
    <w:rsid w:val="00D200A6"/>
    <w:rsid w:val="00DA3A36"/>
    <w:rsid w:val="00DA4614"/>
    <w:rsid w:val="00DC7469"/>
    <w:rsid w:val="00DD7D24"/>
    <w:rsid w:val="00E55E4F"/>
    <w:rsid w:val="00EC715D"/>
    <w:rsid w:val="00F1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42C2818-B3F3-4B49-9801-72C6D989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1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1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Visio_Drawing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7E68-5DAA-4E48-8CBF-9F46B4E4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603512</dc:creator>
  <cp:keywords/>
  <dc:description/>
  <cp:lastModifiedBy>MARK CHIVERS</cp:lastModifiedBy>
  <cp:revision>11</cp:revision>
  <cp:lastPrinted>2019-05-29T16:05:00Z</cp:lastPrinted>
  <dcterms:created xsi:type="dcterms:W3CDTF">2019-05-29T07:48:00Z</dcterms:created>
  <dcterms:modified xsi:type="dcterms:W3CDTF">2019-05-29T20:53:00Z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